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5CD" w:rsidRDefault="00AF25CD" w:rsidP="00AF25CD">
      <w:pPr>
        <w:ind w:left="1418" w:right="1134"/>
        <w:jc w:val="center"/>
        <w:rPr>
          <w:b/>
          <w:sz w:val="19"/>
        </w:rPr>
      </w:pPr>
    </w:p>
    <w:p w:rsidR="00AF25CD" w:rsidRDefault="00AF25CD" w:rsidP="00AF25CD">
      <w:pPr>
        <w:jc w:val="center"/>
        <w:rPr>
          <w:b/>
          <w:sz w:val="28"/>
        </w:rPr>
      </w:pPr>
    </w:p>
    <w:p w:rsidR="00AF25CD" w:rsidRDefault="00AF25CD" w:rsidP="00AF25CD">
      <w:pPr>
        <w:jc w:val="center"/>
        <w:rPr>
          <w:b/>
          <w:sz w:val="28"/>
        </w:rPr>
      </w:pPr>
    </w:p>
    <w:p w:rsidR="00AF25CD" w:rsidRDefault="00AF25CD" w:rsidP="00AF25CD">
      <w:pPr>
        <w:jc w:val="center"/>
        <w:rPr>
          <w:b/>
          <w:sz w:val="28"/>
        </w:rPr>
      </w:pPr>
    </w:p>
    <w:p w:rsidR="00AF25CD" w:rsidRDefault="00AF25CD" w:rsidP="00AF25CD">
      <w:pPr>
        <w:jc w:val="center"/>
        <w:rPr>
          <w:b/>
          <w:sz w:val="28"/>
        </w:rPr>
      </w:pPr>
    </w:p>
    <w:p w:rsidR="00AF25CD" w:rsidRDefault="00AF25CD" w:rsidP="00AF25CD">
      <w:pPr>
        <w:jc w:val="center"/>
        <w:rPr>
          <w:b/>
          <w:sz w:val="28"/>
        </w:rPr>
      </w:pPr>
      <w:r>
        <w:rPr>
          <w:sz w:val="28"/>
        </w:rPr>
        <w:t xml:space="preserve">SZCZEGÓŁOWE SPECYFIKACJE TECHNICZNE </w:t>
      </w:r>
    </w:p>
    <w:p w:rsidR="00AF25CD" w:rsidRDefault="00AF25CD" w:rsidP="00AF25CD">
      <w:pPr>
        <w:jc w:val="center"/>
        <w:rPr>
          <w:b/>
          <w:sz w:val="28"/>
        </w:rPr>
      </w:pPr>
    </w:p>
    <w:p w:rsidR="00AF25CD" w:rsidRDefault="00AF25CD" w:rsidP="00AF25CD">
      <w:pPr>
        <w:jc w:val="center"/>
        <w:rPr>
          <w:b/>
          <w:sz w:val="28"/>
        </w:rPr>
      </w:pPr>
    </w:p>
    <w:p w:rsidR="00AF25CD" w:rsidRDefault="00AF25CD" w:rsidP="00AF25CD">
      <w:pPr>
        <w:jc w:val="center"/>
        <w:rPr>
          <w:b/>
          <w:sz w:val="28"/>
        </w:rPr>
      </w:pPr>
      <w:r>
        <w:rPr>
          <w:b/>
          <w:sz w:val="28"/>
        </w:rPr>
        <w:t>D - 07.02.01</w:t>
      </w:r>
    </w:p>
    <w:p w:rsidR="00AF25CD" w:rsidRDefault="00AF25CD" w:rsidP="00AF25CD">
      <w:pPr>
        <w:jc w:val="center"/>
        <w:rPr>
          <w:b/>
          <w:sz w:val="27"/>
        </w:rPr>
      </w:pPr>
    </w:p>
    <w:p w:rsidR="00AF25CD" w:rsidRDefault="00AF25CD" w:rsidP="00AF25CD">
      <w:pPr>
        <w:jc w:val="center"/>
        <w:rPr>
          <w:b/>
          <w:sz w:val="27"/>
        </w:rPr>
      </w:pPr>
      <w:r>
        <w:rPr>
          <w:b/>
          <w:sz w:val="28"/>
        </w:rPr>
        <w:t>OZNAKOWANIE  PIONOWE</w:t>
      </w:r>
    </w:p>
    <w:p w:rsidR="00AF25CD" w:rsidRDefault="00AF25CD" w:rsidP="00AF25CD">
      <w:pPr>
        <w:jc w:val="center"/>
        <w:rPr>
          <w:b/>
          <w:sz w:val="27"/>
        </w:rPr>
      </w:pPr>
    </w:p>
    <w:p w:rsidR="00AF25CD" w:rsidRDefault="00AF25CD" w:rsidP="00AF25CD">
      <w:pPr>
        <w:jc w:val="center"/>
        <w:rPr>
          <w:b/>
          <w:sz w:val="27"/>
        </w:rPr>
      </w:pPr>
    </w:p>
    <w:p w:rsidR="00AF25CD" w:rsidRDefault="00AF25CD" w:rsidP="00AF25CD">
      <w:pPr>
        <w:jc w:val="center"/>
        <w:rPr>
          <w:b/>
          <w:sz w:val="27"/>
        </w:rPr>
      </w:pPr>
    </w:p>
    <w:p w:rsidR="00AF25CD" w:rsidRDefault="00AF25CD" w:rsidP="00AF25CD">
      <w:pPr>
        <w:jc w:val="center"/>
        <w:rPr>
          <w:b/>
          <w:sz w:val="27"/>
        </w:rPr>
      </w:pPr>
    </w:p>
    <w:p w:rsidR="00AF25CD" w:rsidRDefault="00AF25CD" w:rsidP="00AF25CD">
      <w:pPr>
        <w:jc w:val="center"/>
        <w:rPr>
          <w:sz w:val="19"/>
        </w:rPr>
      </w:pPr>
    </w:p>
    <w:p w:rsidR="00AF25CD" w:rsidRDefault="00AF25CD" w:rsidP="00AF25CD">
      <w:pPr>
        <w:rPr>
          <w:sz w:val="19"/>
        </w:rPr>
      </w:pPr>
    </w:p>
    <w:p w:rsidR="00AF25CD" w:rsidRDefault="00AF25CD" w:rsidP="00AF25CD">
      <w:pPr>
        <w:pBdr>
          <w:bottom w:val="single" w:sz="6" w:space="1" w:color="auto"/>
        </w:pBdr>
        <w:rPr>
          <w:sz w:val="19"/>
        </w:rPr>
      </w:pPr>
    </w:p>
    <w:p w:rsidR="00AF25CD" w:rsidRDefault="00AF25CD" w:rsidP="00AF25CD">
      <w:pPr>
        <w:spacing w:before="240"/>
        <w:jc w:val="center"/>
        <w:rPr>
          <w:b/>
        </w:rPr>
      </w:pPr>
      <w:r>
        <w:rPr>
          <w:b/>
        </w:rPr>
        <w:t>SPIS TREŚCI</w:t>
      </w:r>
    </w:p>
    <w:p w:rsidR="00AF25CD" w:rsidRDefault="00AF25CD" w:rsidP="00AF25CD">
      <w:pPr>
        <w:pStyle w:val="Spistreci1"/>
        <w:spacing w:before="0" w:after="0"/>
        <w:rPr>
          <w:noProof/>
        </w:rPr>
      </w:pPr>
      <w:r>
        <w:rPr>
          <w:b w:val="0"/>
        </w:rPr>
        <w:t xml:space="preserve">  </w:t>
      </w:r>
      <w:r>
        <w:rPr>
          <w:b w:val="0"/>
        </w:rPr>
        <w:fldChar w:fldCharType="begin"/>
      </w:r>
      <w:r>
        <w:rPr>
          <w:b w:val="0"/>
        </w:rPr>
        <w:instrText xml:space="preserve"> TOC \o "1-1" </w:instrText>
      </w:r>
      <w:r>
        <w:rPr>
          <w:b w:val="0"/>
        </w:rPr>
        <w:fldChar w:fldCharType="separate"/>
      </w:r>
      <w:r>
        <w:rPr>
          <w:noProof/>
        </w:rPr>
        <w:t>1. WSTĘP</w:t>
      </w:r>
      <w:r>
        <w:rPr>
          <w:b w:val="0"/>
          <w:noProof/>
        </w:rPr>
        <w:tab/>
      </w:r>
      <w:r>
        <w:rPr>
          <w:b w:val="0"/>
          <w:noProof/>
        </w:rPr>
        <w:fldChar w:fldCharType="begin"/>
      </w:r>
      <w:r>
        <w:rPr>
          <w:b w:val="0"/>
          <w:noProof/>
        </w:rPr>
        <w:instrText xml:space="preserve"> GOTOBUTTON _Toc425833580  </w:instrText>
      </w:r>
      <w:r>
        <w:rPr>
          <w:b w:val="0"/>
          <w:noProof/>
        </w:rPr>
        <w:fldChar w:fldCharType="begin"/>
      </w:r>
      <w:r>
        <w:rPr>
          <w:b w:val="0"/>
          <w:noProof/>
        </w:rPr>
        <w:instrText xml:space="preserve"> PAGEREF _Toc425833580 </w:instrText>
      </w:r>
      <w:r>
        <w:rPr>
          <w:b w:val="0"/>
          <w:noProof/>
        </w:rPr>
        <w:fldChar w:fldCharType="separate"/>
      </w:r>
      <w:r>
        <w:rPr>
          <w:b w:val="0"/>
          <w:noProof/>
        </w:rPr>
        <w:instrText>2</w:instrText>
      </w:r>
      <w:r>
        <w:rPr>
          <w:b w:val="0"/>
          <w:noProof/>
        </w:rPr>
        <w:fldChar w:fldCharType="end"/>
      </w:r>
      <w:r>
        <w:rPr>
          <w:b w:val="0"/>
          <w:noProof/>
        </w:rPr>
        <w:fldChar w:fldCharType="end"/>
      </w:r>
    </w:p>
    <w:p w:rsidR="00AF25CD" w:rsidRDefault="00AF25CD" w:rsidP="00AF25CD">
      <w:pPr>
        <w:pStyle w:val="Spistreci1"/>
        <w:spacing w:before="0" w:after="0"/>
        <w:rPr>
          <w:noProof/>
        </w:rPr>
      </w:pPr>
      <w:r>
        <w:rPr>
          <w:noProof/>
        </w:rPr>
        <w:t xml:space="preserve">  2. MATERIAŁY</w:t>
      </w:r>
      <w:r>
        <w:rPr>
          <w:b w:val="0"/>
          <w:noProof/>
        </w:rPr>
        <w:tab/>
      </w:r>
      <w:r>
        <w:rPr>
          <w:b w:val="0"/>
          <w:noProof/>
        </w:rPr>
        <w:fldChar w:fldCharType="begin"/>
      </w:r>
      <w:r>
        <w:rPr>
          <w:b w:val="0"/>
          <w:noProof/>
        </w:rPr>
        <w:instrText xml:space="preserve"> GOTOBUTTON _Toc425833581  </w:instrText>
      </w:r>
      <w:r>
        <w:rPr>
          <w:b w:val="0"/>
          <w:noProof/>
        </w:rPr>
        <w:fldChar w:fldCharType="begin"/>
      </w:r>
      <w:r>
        <w:rPr>
          <w:b w:val="0"/>
          <w:noProof/>
        </w:rPr>
        <w:instrText xml:space="preserve"> PAGEREF _Toc425833581 </w:instrText>
      </w:r>
      <w:r>
        <w:rPr>
          <w:b w:val="0"/>
          <w:noProof/>
        </w:rPr>
        <w:fldChar w:fldCharType="separate"/>
      </w:r>
      <w:r>
        <w:rPr>
          <w:b w:val="0"/>
          <w:noProof/>
        </w:rPr>
        <w:instrText>3</w:instrText>
      </w:r>
      <w:r>
        <w:rPr>
          <w:b w:val="0"/>
          <w:noProof/>
        </w:rPr>
        <w:fldChar w:fldCharType="end"/>
      </w:r>
      <w:r>
        <w:rPr>
          <w:b w:val="0"/>
          <w:noProof/>
        </w:rPr>
        <w:fldChar w:fldCharType="end"/>
      </w:r>
    </w:p>
    <w:p w:rsidR="00AF25CD" w:rsidRDefault="00AF25CD" w:rsidP="00AF25CD">
      <w:pPr>
        <w:pStyle w:val="Spistreci1"/>
        <w:spacing w:before="0" w:after="0"/>
        <w:rPr>
          <w:noProof/>
        </w:rPr>
      </w:pPr>
      <w:r>
        <w:rPr>
          <w:noProof/>
        </w:rPr>
        <w:t xml:space="preserve">  3. SPRZĘT</w:t>
      </w:r>
      <w:r>
        <w:rPr>
          <w:b w:val="0"/>
          <w:noProof/>
        </w:rPr>
        <w:tab/>
        <w:t>10</w:t>
      </w:r>
    </w:p>
    <w:p w:rsidR="00AF25CD" w:rsidRDefault="00AF25CD" w:rsidP="00AF25CD">
      <w:pPr>
        <w:pStyle w:val="Spistreci1"/>
        <w:spacing w:before="0" w:after="0"/>
        <w:rPr>
          <w:noProof/>
        </w:rPr>
      </w:pPr>
      <w:r>
        <w:rPr>
          <w:noProof/>
        </w:rPr>
        <w:t xml:space="preserve">  4. TRANSPORT</w:t>
      </w:r>
      <w:r>
        <w:rPr>
          <w:b w:val="0"/>
          <w:noProof/>
        </w:rPr>
        <w:tab/>
        <w:t>11</w:t>
      </w:r>
    </w:p>
    <w:p w:rsidR="00AF25CD" w:rsidRDefault="00AF25CD" w:rsidP="00AF25CD">
      <w:pPr>
        <w:pStyle w:val="Spistreci1"/>
        <w:spacing w:before="0" w:after="0"/>
        <w:rPr>
          <w:noProof/>
        </w:rPr>
      </w:pPr>
      <w:r>
        <w:rPr>
          <w:noProof/>
        </w:rPr>
        <w:t xml:space="preserve">  5. WYKONANIE ROBÓT</w:t>
      </w:r>
      <w:r>
        <w:rPr>
          <w:b w:val="0"/>
          <w:noProof/>
        </w:rPr>
        <w:tab/>
        <w:t>11</w:t>
      </w:r>
    </w:p>
    <w:p w:rsidR="00AF25CD" w:rsidRDefault="00AF25CD" w:rsidP="00AF25CD">
      <w:pPr>
        <w:pStyle w:val="Spistreci1"/>
        <w:spacing w:before="0" w:after="0"/>
        <w:rPr>
          <w:noProof/>
        </w:rPr>
      </w:pPr>
      <w:r>
        <w:rPr>
          <w:noProof/>
        </w:rPr>
        <w:t xml:space="preserve">  6. KONTROLA JAKOŚCI ROBÓT</w:t>
      </w:r>
      <w:r>
        <w:rPr>
          <w:b w:val="0"/>
          <w:noProof/>
        </w:rPr>
        <w:tab/>
        <w:t>14</w:t>
      </w:r>
    </w:p>
    <w:p w:rsidR="00AF25CD" w:rsidRDefault="00AF25CD" w:rsidP="00AF25CD">
      <w:pPr>
        <w:pStyle w:val="Spistreci1"/>
        <w:spacing w:before="0" w:after="0"/>
        <w:rPr>
          <w:noProof/>
        </w:rPr>
      </w:pPr>
      <w:r>
        <w:rPr>
          <w:noProof/>
        </w:rPr>
        <w:t xml:space="preserve">  7. OBMIAR ROBÓT</w:t>
      </w:r>
      <w:r>
        <w:rPr>
          <w:b w:val="0"/>
          <w:noProof/>
        </w:rPr>
        <w:tab/>
        <w:t>15</w:t>
      </w:r>
    </w:p>
    <w:p w:rsidR="00AF25CD" w:rsidRDefault="00AF25CD" w:rsidP="00AF25CD">
      <w:pPr>
        <w:pStyle w:val="Spistreci1"/>
        <w:spacing w:before="0" w:after="0"/>
        <w:rPr>
          <w:noProof/>
        </w:rPr>
      </w:pPr>
      <w:r>
        <w:rPr>
          <w:noProof/>
        </w:rPr>
        <w:t xml:space="preserve">  8. ODBIÓR ROBÓT</w:t>
      </w:r>
      <w:r>
        <w:rPr>
          <w:b w:val="0"/>
          <w:noProof/>
        </w:rPr>
        <w:tab/>
        <w:t>16</w:t>
      </w:r>
    </w:p>
    <w:p w:rsidR="00AF25CD" w:rsidRDefault="00AF25CD" w:rsidP="00AF25CD">
      <w:pPr>
        <w:pStyle w:val="Spistreci1"/>
        <w:spacing w:before="0" w:after="0"/>
        <w:rPr>
          <w:noProof/>
        </w:rPr>
      </w:pPr>
      <w:r>
        <w:rPr>
          <w:noProof/>
        </w:rPr>
        <w:t xml:space="preserve">  9. PODSTAWA PŁATNOŚCI</w:t>
      </w:r>
      <w:r>
        <w:rPr>
          <w:b w:val="0"/>
          <w:noProof/>
        </w:rPr>
        <w:tab/>
        <w:t>16</w:t>
      </w:r>
    </w:p>
    <w:p w:rsidR="00AF25CD" w:rsidRDefault="00AF25CD" w:rsidP="00AF25CD">
      <w:pPr>
        <w:pStyle w:val="Spistreci1"/>
        <w:spacing w:before="0" w:after="0"/>
        <w:rPr>
          <w:noProof/>
        </w:rPr>
      </w:pPr>
      <w:r>
        <w:rPr>
          <w:noProof/>
        </w:rPr>
        <w:t>10. PRZEPISY ZWIĄZANE</w:t>
      </w:r>
      <w:r>
        <w:rPr>
          <w:b w:val="0"/>
          <w:noProof/>
        </w:rPr>
        <w:tab/>
        <w:t>17</w:t>
      </w:r>
    </w:p>
    <w:p w:rsidR="00AF25CD" w:rsidRDefault="00AF25CD" w:rsidP="00AF25CD">
      <w:pPr>
        <w:tabs>
          <w:tab w:val="left" w:pos="284"/>
          <w:tab w:val="right" w:leader="dot" w:pos="8789"/>
        </w:tabs>
        <w:ind w:left="90"/>
        <w:jc w:val="center"/>
        <w:rPr>
          <w:b/>
        </w:rPr>
      </w:pPr>
      <w:r>
        <w:rPr>
          <w:b/>
        </w:rPr>
        <w:fldChar w:fldCharType="end"/>
      </w:r>
    </w:p>
    <w:p w:rsidR="00AF25CD" w:rsidRDefault="00AF25CD" w:rsidP="00AF25CD">
      <w:pPr>
        <w:pBdr>
          <w:top w:val="single" w:sz="6" w:space="1" w:color="auto"/>
        </w:pBdr>
        <w:tabs>
          <w:tab w:val="left" w:pos="284"/>
          <w:tab w:val="right" w:leader="dot" w:pos="8789"/>
        </w:tabs>
        <w:jc w:val="center"/>
        <w:rPr>
          <w:b/>
        </w:rPr>
      </w:pPr>
    </w:p>
    <w:p w:rsidR="00AF25CD" w:rsidRDefault="00AF25CD" w:rsidP="00AF25CD">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AF25CD" w:rsidTr="00AF25CD">
        <w:tc>
          <w:tcPr>
            <w:tcW w:w="810" w:type="dxa"/>
            <w:hideMark/>
          </w:tcPr>
          <w:p w:rsidR="00AF25CD" w:rsidRDefault="00AF25CD">
            <w:pPr>
              <w:tabs>
                <w:tab w:val="right" w:leader="dot" w:pos="-1985"/>
                <w:tab w:val="left" w:pos="284"/>
              </w:tabs>
              <w:jc w:val="left"/>
            </w:pPr>
            <w:r>
              <w:t>OST</w:t>
            </w:r>
          </w:p>
        </w:tc>
        <w:tc>
          <w:tcPr>
            <w:tcW w:w="3420" w:type="dxa"/>
            <w:hideMark/>
          </w:tcPr>
          <w:p w:rsidR="00AF25CD" w:rsidRDefault="00AF25CD">
            <w:pPr>
              <w:tabs>
                <w:tab w:val="right" w:leader="dot" w:pos="-1985"/>
                <w:tab w:val="left" w:pos="284"/>
              </w:tabs>
            </w:pPr>
            <w:r>
              <w:t>- ogólna specyfikacja techniczna</w:t>
            </w:r>
          </w:p>
        </w:tc>
      </w:tr>
      <w:tr w:rsidR="00AF25CD" w:rsidTr="00AF25CD">
        <w:tc>
          <w:tcPr>
            <w:tcW w:w="810" w:type="dxa"/>
            <w:hideMark/>
          </w:tcPr>
          <w:p w:rsidR="00AF25CD" w:rsidRDefault="00AF25CD">
            <w:pPr>
              <w:tabs>
                <w:tab w:val="right" w:leader="dot" w:pos="-1985"/>
                <w:tab w:val="left" w:pos="284"/>
              </w:tabs>
              <w:jc w:val="left"/>
            </w:pPr>
            <w:r>
              <w:t>SST</w:t>
            </w:r>
          </w:p>
        </w:tc>
        <w:tc>
          <w:tcPr>
            <w:tcW w:w="3420" w:type="dxa"/>
            <w:hideMark/>
          </w:tcPr>
          <w:p w:rsidR="00AF25CD" w:rsidRDefault="00AF25CD">
            <w:pPr>
              <w:tabs>
                <w:tab w:val="right" w:leader="dot" w:pos="-1985"/>
                <w:tab w:val="left" w:pos="284"/>
              </w:tabs>
            </w:pPr>
            <w:r>
              <w:t>- szczegółowa specyfikacja techniczna</w:t>
            </w:r>
          </w:p>
        </w:tc>
      </w:tr>
    </w:tbl>
    <w:p w:rsidR="00AF25CD" w:rsidRDefault="00AF25CD" w:rsidP="00AF25CD">
      <w:pPr>
        <w:tabs>
          <w:tab w:val="right" w:leader="dot" w:pos="-1985"/>
          <w:tab w:val="left" w:pos="284"/>
        </w:tabs>
        <w:rPr>
          <w:sz w:val="19"/>
        </w:rPr>
      </w:pPr>
    </w:p>
    <w:p w:rsidR="00AF25CD" w:rsidRDefault="00AF25CD" w:rsidP="00AF25CD">
      <w:pPr>
        <w:overflowPunct/>
        <w:autoSpaceDE/>
        <w:autoSpaceDN/>
        <w:adjustRightInd/>
        <w:jc w:val="left"/>
        <w:rPr>
          <w:sz w:val="19"/>
        </w:rPr>
        <w:sectPr w:rsidR="00AF25CD">
          <w:pgSz w:w="11907" w:h="16840"/>
          <w:pgMar w:top="2835" w:right="2268" w:bottom="2835" w:left="2268" w:header="1985" w:footer="1531" w:gutter="0"/>
          <w:cols w:space="708"/>
        </w:sectPr>
      </w:pPr>
    </w:p>
    <w:p w:rsidR="00AF25CD" w:rsidRDefault="00AF25CD" w:rsidP="00AF25CD">
      <w:pPr>
        <w:pStyle w:val="Nagwek1"/>
        <w:ind w:right="-567"/>
        <w:rPr>
          <w:rFonts w:ascii="Arial" w:hAnsi="Arial"/>
        </w:rPr>
      </w:pPr>
      <w:bookmarkStart w:id="0" w:name="_Toc425833580"/>
      <w:bookmarkStart w:id="1" w:name="_Toc416830698"/>
      <w:bookmarkStart w:id="2" w:name="_Toc404150096"/>
      <w:r>
        <w:rPr>
          <w:rFonts w:ascii="Arial" w:hAnsi="Arial"/>
        </w:rPr>
        <w:lastRenderedPageBreak/>
        <w:t>1. WSTĘP</w:t>
      </w:r>
      <w:bookmarkEnd w:id="0"/>
      <w:bookmarkEnd w:id="1"/>
      <w:bookmarkEnd w:id="2"/>
      <w:r>
        <w:rPr>
          <w:rFonts w:ascii="Arial" w:hAnsi="Arial"/>
        </w:rPr>
        <w:t xml:space="preserve"> </w:t>
      </w:r>
    </w:p>
    <w:p w:rsidR="00AF25CD" w:rsidRDefault="00AF25CD" w:rsidP="00AF25CD">
      <w:pPr>
        <w:pStyle w:val="Nagwek2"/>
        <w:rPr>
          <w:rFonts w:ascii="Arial" w:hAnsi="Arial"/>
        </w:rPr>
      </w:pPr>
      <w:bookmarkStart w:id="3" w:name="_Toc407161179"/>
      <w:bookmarkStart w:id="4" w:name="_Toc405615031"/>
      <w:r>
        <w:rPr>
          <w:rFonts w:ascii="Arial" w:hAnsi="Arial"/>
        </w:rPr>
        <w:t>1.1. Przedmiot SST</w:t>
      </w:r>
      <w:bookmarkEnd w:id="3"/>
      <w:bookmarkEnd w:id="4"/>
    </w:p>
    <w:p w:rsidR="00AF25CD" w:rsidRDefault="00AF25CD" w:rsidP="00AF25CD">
      <w:pPr>
        <w:pStyle w:val="Standardowytekst"/>
        <w:rPr>
          <w:rFonts w:ascii="Arial" w:hAnsi="Arial"/>
        </w:rPr>
      </w:pPr>
      <w:r>
        <w:rPr>
          <w:rFonts w:ascii="Arial" w:hAnsi="Arial"/>
        </w:rPr>
        <w:tab/>
        <w:t xml:space="preserve">Przedmiotem niniejszej szczegółowej specyfikacji technicznej (SST) są wymagania dotyczące wykonania i odbioru oznakowania pionowego dróg będących w administracji Gminy Miejskiej Kamienna Góra. </w:t>
      </w:r>
    </w:p>
    <w:p w:rsidR="00AF25CD" w:rsidRDefault="00AF25CD" w:rsidP="00AF25CD">
      <w:pPr>
        <w:pStyle w:val="Nagwek2"/>
        <w:ind w:right="-1276"/>
        <w:rPr>
          <w:rFonts w:ascii="Arial" w:hAnsi="Arial"/>
        </w:rPr>
      </w:pPr>
      <w:bookmarkStart w:id="5" w:name="_Toc407161180"/>
      <w:bookmarkStart w:id="6" w:name="_Toc405615032"/>
      <w:r>
        <w:rPr>
          <w:rFonts w:ascii="Arial" w:hAnsi="Arial"/>
        </w:rPr>
        <w:t>1.2. Zakres stosowania SST</w:t>
      </w:r>
      <w:bookmarkEnd w:id="5"/>
      <w:bookmarkEnd w:id="6"/>
    </w:p>
    <w:p w:rsidR="00AF25CD" w:rsidRDefault="00AF25CD" w:rsidP="00AF25CD">
      <w:pPr>
        <w:pStyle w:val="Standardowytekst"/>
        <w:rPr>
          <w:rFonts w:ascii="Arial" w:hAnsi="Arial"/>
        </w:rPr>
      </w:pPr>
      <w:r>
        <w:rPr>
          <w:rFonts w:ascii="Arial" w:hAnsi="Arial"/>
        </w:rPr>
        <w:tab/>
        <w:t>Szczegółowa specyfikacja techniczna (SST) stanowi dokument przetargowy i kontraktowy przy zlecaniu i realizacji robót na drogach zarządzanych przez Gminę Miejską Kamienna Góra.</w:t>
      </w:r>
    </w:p>
    <w:p w:rsidR="00AF25CD" w:rsidRDefault="00AF25CD" w:rsidP="00AF25CD">
      <w:pPr>
        <w:pStyle w:val="Nagwek2"/>
        <w:rPr>
          <w:rFonts w:ascii="Arial" w:hAnsi="Arial"/>
        </w:rPr>
      </w:pPr>
      <w:bookmarkStart w:id="7" w:name="_Toc407161181"/>
      <w:bookmarkStart w:id="8" w:name="_Toc405615033"/>
      <w:r>
        <w:rPr>
          <w:rFonts w:ascii="Arial" w:hAnsi="Arial"/>
        </w:rPr>
        <w:t>1.3. Zakres robót objętych SST</w:t>
      </w:r>
      <w:bookmarkEnd w:id="7"/>
      <w:bookmarkEnd w:id="8"/>
    </w:p>
    <w:p w:rsidR="00AF25CD" w:rsidRDefault="00AF25CD" w:rsidP="00AF25CD">
      <w:pPr>
        <w:rPr>
          <w:rFonts w:ascii="Arial" w:hAnsi="Arial"/>
        </w:rPr>
      </w:pPr>
      <w:r>
        <w:rPr>
          <w:rFonts w:ascii="Arial" w:hAnsi="Arial"/>
        </w:rPr>
        <w:tab/>
        <w:t>Ustalenia zawarte w niniejszej specyfikacji dotyczą zasad prowadzenia robót związanych z wykonywaniem i odbiorem oznakowania pionowego stosowanego na drogach, w postaci:</w:t>
      </w:r>
    </w:p>
    <w:p w:rsidR="00AF25CD" w:rsidRDefault="00AF25CD" w:rsidP="00AF25CD">
      <w:pPr>
        <w:numPr>
          <w:ilvl w:val="0"/>
          <w:numId w:val="1"/>
        </w:numPr>
        <w:rPr>
          <w:rFonts w:ascii="Arial" w:hAnsi="Arial"/>
        </w:rPr>
      </w:pPr>
      <w:r>
        <w:rPr>
          <w:rFonts w:ascii="Arial" w:hAnsi="Arial"/>
        </w:rPr>
        <w:t>znaków ostrzegawczych,</w:t>
      </w:r>
    </w:p>
    <w:p w:rsidR="00AF25CD" w:rsidRDefault="00AF25CD" w:rsidP="00AF25CD">
      <w:pPr>
        <w:numPr>
          <w:ilvl w:val="0"/>
          <w:numId w:val="1"/>
        </w:numPr>
        <w:rPr>
          <w:rFonts w:ascii="Arial" w:hAnsi="Arial"/>
        </w:rPr>
      </w:pPr>
      <w:r>
        <w:rPr>
          <w:rFonts w:ascii="Arial" w:hAnsi="Arial"/>
        </w:rPr>
        <w:t>znaków zakazu i nakazu,</w:t>
      </w:r>
    </w:p>
    <w:p w:rsidR="00AF25CD" w:rsidRDefault="00AF25CD" w:rsidP="00AF25CD">
      <w:pPr>
        <w:numPr>
          <w:ilvl w:val="0"/>
          <w:numId w:val="1"/>
        </w:numPr>
        <w:rPr>
          <w:rFonts w:ascii="Arial" w:hAnsi="Arial"/>
        </w:rPr>
      </w:pPr>
      <w:r>
        <w:rPr>
          <w:rFonts w:ascii="Arial" w:hAnsi="Arial"/>
        </w:rPr>
        <w:t>znaków informacyjnych, kierunku, miejscowości i znaków uzupełniających,</w:t>
      </w:r>
    </w:p>
    <w:p w:rsidR="00AF25CD" w:rsidRDefault="00AF25CD" w:rsidP="00AF25CD">
      <w:pPr>
        <w:numPr>
          <w:ilvl w:val="0"/>
          <w:numId w:val="1"/>
        </w:numPr>
        <w:rPr>
          <w:rFonts w:ascii="Arial" w:hAnsi="Arial"/>
        </w:rPr>
      </w:pPr>
      <w:r>
        <w:rPr>
          <w:rFonts w:ascii="Arial" w:hAnsi="Arial"/>
        </w:rPr>
        <w:t>urządzeń bezpieczeństwa.</w:t>
      </w:r>
    </w:p>
    <w:p w:rsidR="00AF25CD" w:rsidRDefault="00AF25CD" w:rsidP="00AF25CD">
      <w:pPr>
        <w:pStyle w:val="Nagwek2"/>
        <w:rPr>
          <w:rFonts w:ascii="Arial" w:hAnsi="Arial"/>
        </w:rPr>
      </w:pPr>
      <w:r>
        <w:rPr>
          <w:rFonts w:ascii="Arial" w:hAnsi="Arial"/>
        </w:rPr>
        <w:t>1.4. Określenia podstawowe</w:t>
      </w:r>
    </w:p>
    <w:p w:rsidR="00AF25CD" w:rsidRDefault="00AF25CD" w:rsidP="00AF25CD">
      <w:pPr>
        <w:numPr>
          <w:ilvl w:val="12"/>
          <w:numId w:val="0"/>
        </w:numPr>
        <w:rPr>
          <w:rFonts w:ascii="Arial" w:hAnsi="Arial"/>
        </w:rPr>
      </w:pPr>
      <w:r>
        <w:rPr>
          <w:rFonts w:ascii="Arial" w:hAnsi="Arial"/>
          <w:b/>
        </w:rPr>
        <w:t xml:space="preserve">1.4.1. </w:t>
      </w:r>
      <w:r>
        <w:rPr>
          <w:rFonts w:ascii="Arial" w:hAnsi="Arial"/>
        </w:rPr>
        <w:t>Znak pionowy - znak wykonany w postaci tarczy lub tablicy z napisami albo symbolami, zwykle zamocowany uchwytami montażowymi do konstrukcji wsporczej.</w:t>
      </w:r>
    </w:p>
    <w:p w:rsidR="00AF25CD" w:rsidRDefault="00AF25CD" w:rsidP="00AF25CD">
      <w:pPr>
        <w:numPr>
          <w:ilvl w:val="12"/>
          <w:numId w:val="0"/>
        </w:numPr>
        <w:spacing w:before="120"/>
        <w:rPr>
          <w:rFonts w:ascii="Arial" w:hAnsi="Arial"/>
        </w:rPr>
      </w:pPr>
      <w:r>
        <w:rPr>
          <w:rFonts w:ascii="Arial" w:hAnsi="Arial"/>
          <w:b/>
        </w:rPr>
        <w:t xml:space="preserve">1.4.2. </w:t>
      </w:r>
      <w:r>
        <w:rPr>
          <w:rFonts w:ascii="Arial" w:hAnsi="Arial"/>
        </w:rPr>
        <w:t>Tarcza znaku - element konstrukcyjny, na powierzchni którego umieszczana jest treść znaku. Tarcza może być wykonana z różnych materiałów ( aluminium, blacha stalowa, blacha stalowa ocynkowana  itp.).</w:t>
      </w:r>
    </w:p>
    <w:p w:rsidR="00AF25CD" w:rsidRDefault="00AF25CD" w:rsidP="00AF25CD">
      <w:pPr>
        <w:numPr>
          <w:ilvl w:val="12"/>
          <w:numId w:val="0"/>
        </w:numPr>
        <w:spacing w:before="120"/>
        <w:rPr>
          <w:rFonts w:ascii="Arial" w:hAnsi="Arial"/>
        </w:rPr>
      </w:pPr>
      <w:r>
        <w:rPr>
          <w:rFonts w:ascii="Arial" w:hAnsi="Arial"/>
          <w:b/>
        </w:rPr>
        <w:t xml:space="preserve">1.4.3. </w:t>
      </w:r>
      <w:r>
        <w:rPr>
          <w:rFonts w:ascii="Arial" w:hAnsi="Arial"/>
        </w:rPr>
        <w:t xml:space="preserve">Lico znaku - przednia część znaku, służąca do podania treści znaku. Lico znaku powinno być oklejone folią odblaskową , treść wykonana metodą sitodruku lub wyklejona  folią odblaskową.  </w:t>
      </w:r>
    </w:p>
    <w:p w:rsidR="00AF25CD" w:rsidRDefault="00AF25CD" w:rsidP="00AF25CD">
      <w:pPr>
        <w:numPr>
          <w:ilvl w:val="12"/>
          <w:numId w:val="0"/>
        </w:numPr>
        <w:spacing w:before="120"/>
        <w:rPr>
          <w:rFonts w:ascii="Arial" w:hAnsi="Arial"/>
        </w:rPr>
      </w:pPr>
      <w:r>
        <w:rPr>
          <w:rFonts w:ascii="Arial" w:hAnsi="Arial"/>
          <w:b/>
        </w:rPr>
        <w:t xml:space="preserve">1.4.4. </w:t>
      </w:r>
      <w:r>
        <w:rPr>
          <w:rFonts w:ascii="Arial" w:hAnsi="Arial"/>
        </w:rPr>
        <w:t xml:space="preserve">Znak drogowy odblaskowy - znak, którego lico wykazuje właściwości odblaskowe (wykonane jest z materiału o odbiciu powrotnym - </w:t>
      </w:r>
      <w:proofErr w:type="spellStart"/>
      <w:r>
        <w:rPr>
          <w:rFonts w:ascii="Arial" w:hAnsi="Arial"/>
        </w:rPr>
        <w:t>współdrożnym</w:t>
      </w:r>
      <w:proofErr w:type="spellEnd"/>
      <w:r>
        <w:rPr>
          <w:rFonts w:ascii="Arial" w:hAnsi="Arial"/>
        </w:rPr>
        <w:t>).</w:t>
      </w:r>
    </w:p>
    <w:p w:rsidR="00AF25CD" w:rsidRDefault="00AF25CD" w:rsidP="00AF25CD">
      <w:pPr>
        <w:numPr>
          <w:ilvl w:val="12"/>
          <w:numId w:val="0"/>
        </w:numPr>
        <w:spacing w:before="120"/>
        <w:rPr>
          <w:rFonts w:ascii="Arial" w:hAnsi="Arial"/>
        </w:rPr>
      </w:pPr>
      <w:r>
        <w:rPr>
          <w:rFonts w:ascii="Arial" w:hAnsi="Arial"/>
          <w:b/>
        </w:rPr>
        <w:t xml:space="preserve">1.4.5. </w:t>
      </w:r>
      <w:r>
        <w:rPr>
          <w:rFonts w:ascii="Arial" w:hAnsi="Arial"/>
        </w:rPr>
        <w:t>Konstrukcja wsporcza znaku - słup (słupy), wysięgnik, wspornik, kratownica, brama itp., na którym zamocowana jest tarcza znaku, wraz z elementami służącymi do przymocowania tarczy (śruby, uchwyty, zaciski itp.).</w:t>
      </w:r>
    </w:p>
    <w:p w:rsidR="00AF25CD" w:rsidRDefault="00AF25CD" w:rsidP="00AF25CD">
      <w:pPr>
        <w:numPr>
          <w:ilvl w:val="12"/>
          <w:numId w:val="0"/>
        </w:numPr>
        <w:spacing w:before="120"/>
        <w:rPr>
          <w:rFonts w:ascii="Arial" w:hAnsi="Arial"/>
        </w:rPr>
      </w:pPr>
      <w:r>
        <w:rPr>
          <w:rFonts w:ascii="Arial" w:hAnsi="Arial"/>
          <w:b/>
        </w:rPr>
        <w:t xml:space="preserve">1.4.6. </w:t>
      </w:r>
      <w:r>
        <w:rPr>
          <w:rFonts w:ascii="Arial" w:hAnsi="Arial"/>
        </w:rPr>
        <w:t>Znak nowy - znak użytkowany (ustawiony na drodze) lub magazynowany w okresie do 3 miesięcy od daty produkcji.</w:t>
      </w:r>
    </w:p>
    <w:p w:rsidR="00AF25CD" w:rsidRDefault="00AF25CD" w:rsidP="00AF25CD">
      <w:pPr>
        <w:numPr>
          <w:ilvl w:val="12"/>
          <w:numId w:val="0"/>
        </w:numPr>
        <w:spacing w:before="120"/>
        <w:rPr>
          <w:rFonts w:ascii="Arial" w:hAnsi="Arial"/>
        </w:rPr>
      </w:pPr>
      <w:r>
        <w:rPr>
          <w:rFonts w:ascii="Arial" w:hAnsi="Arial"/>
          <w:b/>
        </w:rPr>
        <w:t xml:space="preserve">1.4.7. </w:t>
      </w:r>
      <w:r>
        <w:rPr>
          <w:rFonts w:ascii="Arial" w:hAnsi="Arial"/>
        </w:rPr>
        <w:t>Znak użytkowany - znak ustawiony na drodze lub magazynowany przez okres dłuższy niż 3 miesiące od daty produkcji.</w:t>
      </w:r>
    </w:p>
    <w:p w:rsidR="00AF25CD" w:rsidRDefault="00AF25CD" w:rsidP="00AF25CD">
      <w:pPr>
        <w:numPr>
          <w:ilvl w:val="12"/>
          <w:numId w:val="0"/>
        </w:numPr>
        <w:spacing w:before="120"/>
        <w:rPr>
          <w:rFonts w:ascii="Arial" w:hAnsi="Arial"/>
        </w:rPr>
      </w:pPr>
      <w:r>
        <w:rPr>
          <w:rFonts w:ascii="Arial" w:hAnsi="Arial"/>
          <w:b/>
        </w:rPr>
        <w:t xml:space="preserve">1.4.8. </w:t>
      </w:r>
      <w:r>
        <w:rPr>
          <w:rFonts w:ascii="Arial" w:hAnsi="Arial"/>
        </w:rPr>
        <w:t xml:space="preserve">Pozostałe określenia podstawowe są zgodne z obowiązującymi, odpowiednimi polskimi normami i z definicjami podanymi w OST D-M-00.00.00 „Wymagania ogólne” pkt 1.4. </w:t>
      </w:r>
    </w:p>
    <w:p w:rsidR="00AF25CD" w:rsidRDefault="00AF25CD" w:rsidP="00AF25CD">
      <w:pPr>
        <w:pStyle w:val="Nagwek2"/>
        <w:numPr>
          <w:ilvl w:val="12"/>
          <w:numId w:val="0"/>
        </w:numPr>
        <w:rPr>
          <w:rFonts w:ascii="Arial" w:hAnsi="Arial"/>
        </w:rPr>
      </w:pPr>
      <w:r>
        <w:rPr>
          <w:rFonts w:ascii="Arial" w:hAnsi="Arial"/>
        </w:rPr>
        <w:t>1.5. Ogólne wymagania dotyczące robót</w:t>
      </w:r>
    </w:p>
    <w:p w:rsidR="00AF25CD" w:rsidRDefault="00AF25CD" w:rsidP="00AF25CD">
      <w:pPr>
        <w:numPr>
          <w:ilvl w:val="12"/>
          <w:numId w:val="0"/>
        </w:numPr>
        <w:rPr>
          <w:rFonts w:ascii="Arial" w:hAnsi="Arial"/>
        </w:rPr>
      </w:pPr>
      <w:r>
        <w:rPr>
          <w:rFonts w:ascii="Arial" w:hAnsi="Arial"/>
        </w:rPr>
        <w:tab/>
        <w:t xml:space="preserve">Ogólne wymagania dotyczące robót podano w OST D-M-00.00.00 „Wymagania ogólne” pkt 1.5. </w:t>
      </w:r>
    </w:p>
    <w:p w:rsidR="00AF25CD" w:rsidRDefault="00AF25CD" w:rsidP="00AF25CD">
      <w:pPr>
        <w:pStyle w:val="Nagwek1"/>
        <w:numPr>
          <w:ilvl w:val="12"/>
          <w:numId w:val="0"/>
        </w:numPr>
        <w:rPr>
          <w:rFonts w:ascii="Arial" w:hAnsi="Arial"/>
        </w:rPr>
      </w:pPr>
      <w:bookmarkStart w:id="9" w:name="_Toc425833581"/>
      <w:bookmarkStart w:id="10" w:name="_Toc420816681"/>
      <w:r>
        <w:rPr>
          <w:rFonts w:ascii="Arial" w:hAnsi="Arial"/>
        </w:rPr>
        <w:t>2. materiały</w:t>
      </w:r>
      <w:bookmarkEnd w:id="9"/>
      <w:bookmarkEnd w:id="10"/>
    </w:p>
    <w:p w:rsidR="00AF25CD" w:rsidRDefault="00AF25CD" w:rsidP="00AF25CD">
      <w:pPr>
        <w:pStyle w:val="Nagwek2"/>
        <w:numPr>
          <w:ilvl w:val="12"/>
          <w:numId w:val="0"/>
        </w:numPr>
        <w:rPr>
          <w:rFonts w:ascii="Arial" w:hAnsi="Arial"/>
        </w:rPr>
      </w:pPr>
      <w:r>
        <w:rPr>
          <w:rFonts w:ascii="Arial" w:hAnsi="Arial"/>
        </w:rPr>
        <w:t>2.1. Ogólne wymagania dotyczące materiałów</w:t>
      </w:r>
    </w:p>
    <w:p w:rsidR="00AF25CD" w:rsidRDefault="00AF25CD" w:rsidP="00AF25CD">
      <w:pPr>
        <w:numPr>
          <w:ilvl w:val="12"/>
          <w:numId w:val="0"/>
        </w:numPr>
        <w:rPr>
          <w:rFonts w:ascii="Arial" w:hAnsi="Arial"/>
        </w:rPr>
      </w:pPr>
      <w:r>
        <w:rPr>
          <w:rFonts w:ascii="Arial" w:hAnsi="Arial"/>
        </w:rPr>
        <w:tab/>
        <w:t>Ogólne wymagania dotyczące materiałów, ich pozyskiwania i składowania podano w OST D-M-00.00.00 „Wymagania ogólne” pkt 2.</w:t>
      </w:r>
    </w:p>
    <w:p w:rsidR="00AF25CD" w:rsidRDefault="00AF25CD" w:rsidP="00AF25CD">
      <w:pPr>
        <w:numPr>
          <w:ilvl w:val="12"/>
          <w:numId w:val="0"/>
        </w:numPr>
        <w:rPr>
          <w:rFonts w:ascii="Arial" w:hAnsi="Arial"/>
        </w:rPr>
      </w:pPr>
    </w:p>
    <w:p w:rsidR="00AF25CD" w:rsidRDefault="00AF25CD" w:rsidP="00AF25CD">
      <w:pPr>
        <w:pStyle w:val="Nagwek2"/>
        <w:numPr>
          <w:ilvl w:val="12"/>
          <w:numId w:val="0"/>
        </w:numPr>
        <w:rPr>
          <w:rFonts w:ascii="Arial" w:hAnsi="Arial"/>
        </w:rPr>
      </w:pPr>
      <w:r>
        <w:rPr>
          <w:rFonts w:ascii="Arial" w:hAnsi="Arial"/>
        </w:rPr>
        <w:t>2.2. Dokument dopuszczający do stosowania materiałów</w:t>
      </w:r>
    </w:p>
    <w:p w:rsidR="00AF25CD" w:rsidRDefault="00AF25CD" w:rsidP="00AF25CD">
      <w:pPr>
        <w:numPr>
          <w:ilvl w:val="12"/>
          <w:numId w:val="0"/>
        </w:numPr>
        <w:ind w:firstLine="709"/>
        <w:rPr>
          <w:rFonts w:ascii="Arial" w:hAnsi="Arial"/>
        </w:rPr>
      </w:pPr>
      <w:r>
        <w:rPr>
          <w:rFonts w:ascii="Arial" w:hAnsi="Arial"/>
        </w:rPr>
        <w:t>Każdy materiał użyty do wykonania znaku pionowego musi posiadać aprobatę techniczną i certyfikat zgodności nadany mu przez uprawnioną jednostkę.</w:t>
      </w:r>
    </w:p>
    <w:p w:rsidR="00AF25CD" w:rsidRDefault="00AF25CD" w:rsidP="00AF25CD">
      <w:pPr>
        <w:numPr>
          <w:ilvl w:val="12"/>
          <w:numId w:val="0"/>
        </w:numPr>
        <w:rPr>
          <w:rFonts w:ascii="Arial" w:hAnsi="Arial"/>
        </w:rPr>
      </w:pPr>
      <w:r>
        <w:rPr>
          <w:rFonts w:ascii="Arial" w:hAnsi="Arial"/>
        </w:rPr>
        <w:t>Folie odblaskowe stosowane na lica znaków drogowych muszą posiadać aprobatę techniczną wydaną przez uprawnioną jednostkę oraz deklaracje zgodności wydane przez producenta.</w:t>
      </w:r>
    </w:p>
    <w:p w:rsidR="00AF25CD" w:rsidRDefault="00AF25CD" w:rsidP="00AF25CD">
      <w:pPr>
        <w:numPr>
          <w:ilvl w:val="12"/>
          <w:numId w:val="0"/>
        </w:numPr>
      </w:pPr>
      <w:r>
        <w:rPr>
          <w:rFonts w:ascii="Arial" w:hAnsi="Arial"/>
        </w:rPr>
        <w:t>Słupki, blachy, kształtowniki wykonane z taśmy stalowej profilowanej i inne elementy konstrukcyjne muszą mieć deklaracje zgodności z odpowiednimi normami.</w:t>
      </w:r>
    </w:p>
    <w:p w:rsidR="00AF25CD" w:rsidRDefault="00AF25CD" w:rsidP="00AF25CD">
      <w:pPr>
        <w:numPr>
          <w:ilvl w:val="12"/>
          <w:numId w:val="0"/>
        </w:numPr>
        <w:rPr>
          <w:rFonts w:ascii="Arial" w:hAnsi="Arial"/>
        </w:rPr>
      </w:pPr>
      <w:r>
        <w:rPr>
          <w:rFonts w:ascii="Arial" w:hAnsi="Arial"/>
        </w:rPr>
        <w:lastRenderedPageBreak/>
        <w:t>Symbole i rozmiary znaków powinny spełniać warunki postawione w rozporządzeniu Ministra Infrastruktury [25].</w:t>
      </w:r>
    </w:p>
    <w:p w:rsidR="00AF25CD" w:rsidRDefault="00AF25CD" w:rsidP="00AF25CD">
      <w:pPr>
        <w:pStyle w:val="Nagwek2"/>
        <w:numPr>
          <w:ilvl w:val="12"/>
          <w:numId w:val="0"/>
        </w:numPr>
        <w:rPr>
          <w:rFonts w:ascii="Arial" w:hAnsi="Arial"/>
        </w:rPr>
      </w:pPr>
      <w:r>
        <w:rPr>
          <w:rFonts w:ascii="Arial" w:hAnsi="Arial"/>
        </w:rPr>
        <w:t xml:space="preserve"> 2.3. Materiały stosowane do fundamentów znaków</w:t>
      </w:r>
    </w:p>
    <w:p w:rsidR="00AF25CD" w:rsidRDefault="00AF25CD" w:rsidP="00AF25CD">
      <w:pPr>
        <w:numPr>
          <w:ilvl w:val="12"/>
          <w:numId w:val="0"/>
        </w:numPr>
        <w:rPr>
          <w:rFonts w:ascii="Arial" w:hAnsi="Arial"/>
        </w:rPr>
      </w:pPr>
      <w:r>
        <w:rPr>
          <w:rFonts w:ascii="Arial" w:hAnsi="Arial"/>
        </w:rPr>
        <w:tab/>
        <w:t>Fundamenty dla zamocowania konstrukcji wsporczych znaków mogą być wykonywane jako:</w:t>
      </w:r>
    </w:p>
    <w:p w:rsidR="00AF25CD" w:rsidRDefault="00AF25CD" w:rsidP="00AF25CD">
      <w:pPr>
        <w:numPr>
          <w:ilvl w:val="0"/>
          <w:numId w:val="1"/>
        </w:numPr>
        <w:rPr>
          <w:rFonts w:ascii="Arial" w:hAnsi="Arial"/>
        </w:rPr>
      </w:pPr>
      <w:r>
        <w:rPr>
          <w:rFonts w:ascii="Arial" w:hAnsi="Arial"/>
        </w:rPr>
        <w:t>prefabrykaty betonowe,</w:t>
      </w:r>
    </w:p>
    <w:p w:rsidR="00AF25CD" w:rsidRDefault="00AF25CD" w:rsidP="00AF25CD">
      <w:pPr>
        <w:numPr>
          <w:ilvl w:val="0"/>
          <w:numId w:val="1"/>
        </w:numPr>
        <w:rPr>
          <w:rFonts w:ascii="Arial" w:hAnsi="Arial"/>
        </w:rPr>
      </w:pPr>
      <w:r>
        <w:rPr>
          <w:rFonts w:ascii="Arial" w:hAnsi="Arial"/>
        </w:rPr>
        <w:t xml:space="preserve">beton wykonywany „na mokro” </w:t>
      </w:r>
    </w:p>
    <w:p w:rsidR="00AF25CD" w:rsidRDefault="00AF25CD" w:rsidP="00AF25CD">
      <w:pPr>
        <w:numPr>
          <w:ilvl w:val="0"/>
          <w:numId w:val="1"/>
        </w:numPr>
        <w:rPr>
          <w:rFonts w:ascii="Arial" w:hAnsi="Arial"/>
        </w:rPr>
      </w:pPr>
      <w:r>
        <w:rPr>
          <w:rFonts w:ascii="Arial" w:hAnsi="Arial"/>
        </w:rPr>
        <w:t>beton klasy nie mniejszej niż B-20,</w:t>
      </w:r>
    </w:p>
    <w:p w:rsidR="00AF25CD" w:rsidRDefault="00AF25CD" w:rsidP="00AF25CD">
      <w:pPr>
        <w:numPr>
          <w:ilvl w:val="0"/>
          <w:numId w:val="1"/>
        </w:numPr>
        <w:rPr>
          <w:rFonts w:ascii="Arial" w:hAnsi="Arial"/>
        </w:rPr>
      </w:pPr>
      <w:r>
        <w:rPr>
          <w:rFonts w:ascii="Arial" w:hAnsi="Arial"/>
        </w:rPr>
        <w:t>betonu zbrojony,</w:t>
      </w:r>
    </w:p>
    <w:p w:rsidR="00AF25CD" w:rsidRDefault="00AF25CD" w:rsidP="00AF25CD">
      <w:pPr>
        <w:numPr>
          <w:ilvl w:val="0"/>
          <w:numId w:val="1"/>
        </w:numPr>
        <w:rPr>
          <w:rFonts w:ascii="Arial" w:hAnsi="Arial"/>
        </w:rPr>
      </w:pPr>
      <w:r>
        <w:rPr>
          <w:rFonts w:ascii="Arial" w:hAnsi="Arial"/>
        </w:rPr>
        <w:t>tuleje z rur stalowych,</w:t>
      </w:r>
    </w:p>
    <w:p w:rsidR="00AF25CD" w:rsidRDefault="00AF25CD" w:rsidP="00AF25CD">
      <w:pPr>
        <w:numPr>
          <w:ilvl w:val="0"/>
          <w:numId w:val="1"/>
        </w:numPr>
        <w:rPr>
          <w:rFonts w:ascii="Arial" w:hAnsi="Arial"/>
        </w:rPr>
      </w:pPr>
      <w:r>
        <w:rPr>
          <w:rFonts w:ascii="Arial" w:hAnsi="Arial"/>
        </w:rPr>
        <w:t>inne rozwiązania zaakceptowane przez Inżyniera.</w:t>
      </w:r>
    </w:p>
    <w:p w:rsidR="00AF25CD" w:rsidRDefault="00AF25CD" w:rsidP="00AF25CD">
      <w:pPr>
        <w:pStyle w:val="Nagwek2"/>
        <w:rPr>
          <w:rFonts w:ascii="Arial" w:hAnsi="Arial"/>
        </w:rPr>
      </w:pPr>
    </w:p>
    <w:p w:rsidR="00AF25CD" w:rsidRDefault="00AF25CD" w:rsidP="00AF25CD">
      <w:pPr>
        <w:pStyle w:val="Nagwek2"/>
        <w:rPr>
          <w:rFonts w:ascii="Arial" w:hAnsi="Arial"/>
        </w:rPr>
      </w:pPr>
      <w:r>
        <w:rPr>
          <w:rFonts w:ascii="Arial" w:hAnsi="Arial"/>
        </w:rPr>
        <w:t>2.4. Konstrukcje wsporcze</w:t>
      </w:r>
    </w:p>
    <w:p w:rsidR="00AF25CD" w:rsidRDefault="00AF25CD" w:rsidP="00AF25CD">
      <w:pPr>
        <w:rPr>
          <w:rFonts w:ascii="Arial" w:hAnsi="Arial"/>
        </w:rPr>
      </w:pPr>
      <w:r>
        <w:rPr>
          <w:rFonts w:ascii="Arial" w:hAnsi="Arial"/>
          <w:b/>
        </w:rPr>
        <w:t xml:space="preserve">2.4.1. </w:t>
      </w:r>
      <w:r>
        <w:rPr>
          <w:rFonts w:ascii="Arial" w:hAnsi="Arial"/>
        </w:rPr>
        <w:t>Ogólne charakterystyki konstrukcji</w:t>
      </w:r>
    </w:p>
    <w:p w:rsidR="00AF25CD" w:rsidRDefault="00AF25CD" w:rsidP="00AF25CD">
      <w:pPr>
        <w:spacing w:before="120"/>
        <w:rPr>
          <w:rFonts w:ascii="Arial" w:hAnsi="Arial"/>
        </w:rPr>
      </w:pPr>
      <w:r>
        <w:rPr>
          <w:rFonts w:ascii="Arial" w:hAnsi="Arial"/>
        </w:rPr>
        <w:tab/>
        <w:t>Konstrukcje wsporcze znaków pionowych należy wykonać zgodnie z dokumentacją projektową uwzględniającą wymagania postawione w PN-EN 12899-1:2005 [16,17] i SST, a w przypadku braku wystarczających ustaleń, zgodnie z propozycją Wykonawcy zaakceptowaną przez Inżyniera.</w:t>
      </w:r>
    </w:p>
    <w:p w:rsidR="00AF25CD" w:rsidRDefault="00AF25CD" w:rsidP="00AF25CD">
      <w:pPr>
        <w:rPr>
          <w:rFonts w:ascii="Arial" w:hAnsi="Arial"/>
        </w:rPr>
      </w:pPr>
      <w:r>
        <w:rPr>
          <w:rFonts w:ascii="Arial" w:hAnsi="Arial"/>
        </w:rPr>
        <w:tab/>
        <w:t>Konstrukcje wsporcze można wykonać z ocynkowanych rur lub innych kształtowników zaakceptowanych przez Inżyniera.</w:t>
      </w:r>
    </w:p>
    <w:p w:rsidR="00AF25CD" w:rsidRDefault="00AF25CD" w:rsidP="00AF25CD">
      <w:pPr>
        <w:rPr>
          <w:rFonts w:ascii="Arial" w:hAnsi="Arial"/>
        </w:rPr>
      </w:pPr>
      <w:r>
        <w:rPr>
          <w:rFonts w:ascii="Arial" w:hAnsi="Arial"/>
        </w:rPr>
        <w:t>Parametry techniczne konstrukcji uzależnione są od powierzchni montowanych znaków i tablic oraz ilości i sposobu ich usytuowania w terenie. Konstrukcje wsporcze powinny być zaprojektowane i wykonane w sposób gwarantujący stabilne i prawidłowe ustawienie w pasie drogowym.</w:t>
      </w:r>
    </w:p>
    <w:p w:rsidR="00AF25CD" w:rsidRDefault="00AF25CD" w:rsidP="00AF25CD">
      <w:pPr>
        <w:rPr>
          <w:rFonts w:ascii="Arial" w:hAnsi="Arial"/>
        </w:rPr>
      </w:pPr>
      <w:r>
        <w:rPr>
          <w:rFonts w:ascii="Arial" w:hAnsi="Arial"/>
        </w:rPr>
        <w:tab/>
      </w:r>
    </w:p>
    <w:p w:rsidR="00AF25CD" w:rsidRDefault="00AF25CD" w:rsidP="00AF25CD">
      <w:pPr>
        <w:rPr>
          <w:rFonts w:ascii="Arial" w:hAnsi="Arial"/>
        </w:rPr>
      </w:pPr>
      <w:r>
        <w:rPr>
          <w:rFonts w:ascii="Arial" w:hAnsi="Arial"/>
          <w:b/>
        </w:rPr>
        <w:t xml:space="preserve">2.4.2. </w:t>
      </w:r>
      <w:r>
        <w:rPr>
          <w:rFonts w:ascii="Arial" w:hAnsi="Arial"/>
        </w:rPr>
        <w:t>Rury</w:t>
      </w:r>
    </w:p>
    <w:p w:rsidR="00AF25CD" w:rsidRDefault="00AF25CD" w:rsidP="00AF25CD">
      <w:pPr>
        <w:spacing w:before="120"/>
        <w:rPr>
          <w:rFonts w:ascii="Arial" w:hAnsi="Arial"/>
        </w:rPr>
      </w:pPr>
      <w:r>
        <w:rPr>
          <w:rFonts w:ascii="Arial" w:hAnsi="Arial"/>
        </w:rPr>
        <w:tab/>
        <w:t>Rury powinny odpowiadać wymaganiom PN-H-74200:1998 [21], PN-84/H-74220 [3] lub innej normy zaakceptowanej przez Inżyniera.</w:t>
      </w:r>
    </w:p>
    <w:p w:rsidR="00AF25CD" w:rsidRDefault="00AF25CD" w:rsidP="00AF25CD">
      <w:pPr>
        <w:rPr>
          <w:rFonts w:ascii="Arial" w:hAnsi="Arial"/>
        </w:rPr>
      </w:pPr>
      <w:r>
        <w:rPr>
          <w:rFonts w:ascii="Arial" w:hAnsi="Aria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AF25CD" w:rsidRDefault="00AF25CD" w:rsidP="00AF25CD">
      <w:pPr>
        <w:rPr>
          <w:rFonts w:ascii="Arial" w:hAnsi="Arial"/>
        </w:rPr>
      </w:pPr>
      <w:r>
        <w:rPr>
          <w:rFonts w:ascii="Arial" w:hAnsi="Arial"/>
        </w:rPr>
        <w:tab/>
        <w:t>Końce rur powinny być obcięte równo i prostopadle do osi rury.</w:t>
      </w:r>
    </w:p>
    <w:p w:rsidR="00AF25CD" w:rsidRDefault="00AF25CD" w:rsidP="00AF25CD">
      <w:pPr>
        <w:rPr>
          <w:rFonts w:ascii="Arial" w:hAnsi="Arial"/>
        </w:rPr>
      </w:pPr>
      <w:r>
        <w:rPr>
          <w:rFonts w:ascii="Arial" w:hAnsi="Arial"/>
        </w:rPr>
        <w:tab/>
        <w:t>Rury powinny być proste. Dopuszczalna miejscowa krzywizna nie powinna przekraczać 1,5 mm na 1 m długości rury.</w:t>
      </w:r>
    </w:p>
    <w:p w:rsidR="00AF25CD" w:rsidRDefault="00AF25CD" w:rsidP="00AF25CD">
      <w:r>
        <w:rPr>
          <w:rFonts w:ascii="Arial" w:hAnsi="Arial"/>
        </w:rPr>
        <w:tab/>
        <w:t>Rury powinny być wykonane ze stali w gatunkach dopuszczonych przez normy  PN-89/H-84023.07 [5] lub inne normy.</w:t>
      </w:r>
    </w:p>
    <w:p w:rsidR="00AF25CD" w:rsidRDefault="00AF25CD" w:rsidP="00AF25CD">
      <w:pPr>
        <w:rPr>
          <w:rFonts w:ascii="Arial" w:hAnsi="Arial"/>
        </w:rPr>
      </w:pPr>
    </w:p>
    <w:p w:rsidR="00AF25CD" w:rsidRDefault="00AF25CD" w:rsidP="00AF25CD">
      <w:pPr>
        <w:rPr>
          <w:rFonts w:ascii="Arial" w:hAnsi="Arial"/>
        </w:rPr>
      </w:pPr>
      <w:r>
        <w:rPr>
          <w:rFonts w:ascii="Arial" w:hAnsi="Arial"/>
          <w:b/>
        </w:rPr>
        <w:t xml:space="preserve">2.4.3. </w:t>
      </w:r>
      <w:r>
        <w:rPr>
          <w:rFonts w:ascii="Arial" w:hAnsi="Arial"/>
        </w:rPr>
        <w:t>Kształtowniki</w:t>
      </w:r>
    </w:p>
    <w:p w:rsidR="00AF25CD" w:rsidRDefault="00AF25CD" w:rsidP="00AF25CD">
      <w:pPr>
        <w:spacing w:before="120"/>
        <w:rPr>
          <w:rFonts w:ascii="Arial" w:hAnsi="Arial"/>
        </w:rPr>
      </w:pPr>
      <w:r>
        <w:rPr>
          <w:rFonts w:ascii="Arial" w:hAnsi="Arial"/>
        </w:rPr>
        <w:tab/>
        <w:t>Kształtowniki powinny odpowiadać wymaganiom PN-91/H-93010 [23]i PN-EN 10025-1:2005.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AF25CD" w:rsidRDefault="00AF25CD" w:rsidP="00AF25CD">
      <w:pPr>
        <w:rPr>
          <w:rFonts w:ascii="Arial" w:hAnsi="Arial"/>
        </w:rPr>
      </w:pPr>
      <w:r>
        <w:rPr>
          <w:rFonts w:ascii="Arial" w:hAnsi="Arial"/>
        </w:rPr>
        <w:tab/>
        <w:t>Kształtowniki powinny być obcięte prostopadle do osi wzdłużnej kształtownika. Powierzchnia końców kształtownika nie powinna wykazywać rzadzizn, rozwarstwień, pęknięć i śladów jamy skurczowej widocznych nie uzbrojonym okiem.</w:t>
      </w:r>
    </w:p>
    <w:p w:rsidR="00AF25CD" w:rsidRDefault="00AF25CD" w:rsidP="00AF25CD">
      <w:pPr>
        <w:rPr>
          <w:rFonts w:ascii="Arial" w:hAnsi="Arial"/>
        </w:rPr>
      </w:pPr>
      <w:r>
        <w:rPr>
          <w:rFonts w:ascii="Arial" w:hAnsi="Arial"/>
        </w:rPr>
        <w:tab/>
      </w:r>
    </w:p>
    <w:p w:rsidR="00AF25CD" w:rsidRDefault="00AF25CD" w:rsidP="00AF25CD">
      <w:pPr>
        <w:spacing w:before="120"/>
        <w:rPr>
          <w:rFonts w:ascii="Arial" w:hAnsi="Arial"/>
        </w:rPr>
      </w:pPr>
      <w:r>
        <w:rPr>
          <w:rFonts w:ascii="Arial" w:hAnsi="Arial"/>
          <w:b/>
        </w:rPr>
        <w:t xml:space="preserve">2.4.4. </w:t>
      </w:r>
      <w:r>
        <w:rPr>
          <w:rFonts w:ascii="Arial" w:hAnsi="Arial"/>
        </w:rPr>
        <w:t>Powłoki metalizacyjne cynkowe</w:t>
      </w:r>
    </w:p>
    <w:p w:rsidR="00AF25CD" w:rsidRDefault="00AF25CD" w:rsidP="00AF25CD">
      <w:pPr>
        <w:spacing w:before="120"/>
        <w:rPr>
          <w:rFonts w:ascii="Arial" w:hAnsi="Arial"/>
        </w:rPr>
      </w:pPr>
      <w:r>
        <w:rPr>
          <w:rFonts w:ascii="Arial" w:hAnsi="Arial"/>
        </w:rPr>
        <w:tab/>
        <w:t>Powłoka metalizacyjna cynkowa na konstrukcjach stalowych powinna odpowiadać wymaganiom PN-EN ISO 1461:2000 [11] i PN-EN 10240:2001 [12]. Minimalna grubość powłoki cynkowej powinna wynosić 60um.</w:t>
      </w:r>
    </w:p>
    <w:p w:rsidR="00AF25CD" w:rsidRDefault="00AF25CD" w:rsidP="00AF25CD">
      <w:pPr>
        <w:rPr>
          <w:rFonts w:ascii="Arial" w:hAnsi="Arial"/>
        </w:rPr>
      </w:pPr>
      <w:r>
        <w:rPr>
          <w:rFonts w:ascii="Arial" w:hAnsi="Arial"/>
        </w:rPr>
        <w:tab/>
        <w:t>Powierzchnia powłoki powinna być jednorodna pod względem ziarnistości. Nie może ona wykazywać widocznych wad jak rysy, pęknięcia, pęcherze lub odstawanie powłoki od podłoża.</w:t>
      </w:r>
    </w:p>
    <w:p w:rsidR="00AF25CD" w:rsidRDefault="00AF25CD" w:rsidP="00AF25CD">
      <w:pPr>
        <w:rPr>
          <w:rFonts w:ascii="Arial" w:hAnsi="Arial"/>
        </w:rPr>
      </w:pPr>
    </w:p>
    <w:p w:rsidR="00AF25CD" w:rsidRDefault="00AF25CD" w:rsidP="00AF25CD">
      <w:pPr>
        <w:rPr>
          <w:rFonts w:ascii="Arial" w:hAnsi="Arial"/>
        </w:rPr>
      </w:pPr>
    </w:p>
    <w:p w:rsidR="00AF25CD" w:rsidRDefault="00AF25CD" w:rsidP="00AF25CD">
      <w:pPr>
        <w:rPr>
          <w:rFonts w:ascii="Arial" w:hAnsi="Arial"/>
        </w:rPr>
      </w:pPr>
    </w:p>
    <w:p w:rsidR="00AF25CD" w:rsidRDefault="00AF25CD" w:rsidP="00AF25CD">
      <w:pPr>
        <w:rPr>
          <w:rFonts w:ascii="Arial" w:hAnsi="Arial"/>
        </w:rPr>
      </w:pPr>
    </w:p>
    <w:p w:rsidR="00AF25CD" w:rsidRDefault="00AF25CD" w:rsidP="00AF25CD">
      <w:pPr>
        <w:spacing w:before="120"/>
        <w:rPr>
          <w:rFonts w:ascii="Arial" w:hAnsi="Arial"/>
        </w:rPr>
      </w:pPr>
      <w:r>
        <w:rPr>
          <w:rFonts w:ascii="Arial" w:hAnsi="Arial"/>
          <w:b/>
        </w:rPr>
        <w:t xml:space="preserve">2.4.5. </w:t>
      </w:r>
      <w:r>
        <w:rPr>
          <w:rFonts w:ascii="Arial" w:hAnsi="Arial"/>
        </w:rPr>
        <w:t>Gwarancja producenta lub dostawcy na konstrukcję wsporczą</w:t>
      </w:r>
    </w:p>
    <w:p w:rsidR="00AF25CD" w:rsidRDefault="00AF25CD" w:rsidP="00AF25CD">
      <w:pPr>
        <w:spacing w:before="120"/>
        <w:rPr>
          <w:rFonts w:ascii="Arial" w:hAnsi="Arial"/>
        </w:rPr>
      </w:pPr>
      <w:r>
        <w:rPr>
          <w:rFonts w:ascii="Arial" w:hAnsi="Arial"/>
        </w:rPr>
        <w:lastRenderedPageBreak/>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AF25CD" w:rsidRDefault="00AF25CD" w:rsidP="00AF25CD">
      <w:pPr>
        <w:rPr>
          <w:rFonts w:ascii="Arial" w:hAnsi="Arial"/>
        </w:rPr>
      </w:pPr>
      <w:r>
        <w:rPr>
          <w:rFonts w:ascii="Arial" w:hAnsi="Aria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p>
    <w:p w:rsidR="00AF25CD" w:rsidRDefault="00AF25CD" w:rsidP="00AF25CD">
      <w:pPr>
        <w:rPr>
          <w:rFonts w:ascii="Arial" w:hAnsi="Arial"/>
        </w:rPr>
      </w:pPr>
    </w:p>
    <w:p w:rsidR="00AF25CD" w:rsidRDefault="00AF25CD" w:rsidP="00AF25CD">
      <w:pPr>
        <w:pStyle w:val="Nagwek2"/>
        <w:rPr>
          <w:rFonts w:ascii="Arial" w:hAnsi="Arial"/>
        </w:rPr>
      </w:pPr>
      <w:r>
        <w:rPr>
          <w:rFonts w:ascii="Arial" w:hAnsi="Arial"/>
        </w:rPr>
        <w:t>2.5. Tarcza znaku</w:t>
      </w:r>
    </w:p>
    <w:p w:rsidR="00AF25CD" w:rsidRDefault="00AF25CD" w:rsidP="00AF25CD">
      <w:pPr>
        <w:rPr>
          <w:rFonts w:ascii="Arial" w:hAnsi="Arial"/>
        </w:rPr>
      </w:pPr>
      <w:r>
        <w:rPr>
          <w:rFonts w:ascii="Arial" w:hAnsi="Arial"/>
          <w:b/>
        </w:rPr>
        <w:t xml:space="preserve">2.5.1. </w:t>
      </w:r>
      <w:r>
        <w:rPr>
          <w:rFonts w:ascii="Arial" w:hAnsi="Arial"/>
        </w:rPr>
        <w:t xml:space="preserve"> Trwałość materiałów na wpływy zewnętrzne</w:t>
      </w:r>
    </w:p>
    <w:p w:rsidR="00AF25CD" w:rsidRDefault="00AF25CD" w:rsidP="00AF25CD">
      <w:pPr>
        <w:spacing w:before="120"/>
        <w:rPr>
          <w:rFonts w:ascii="Arial" w:hAnsi="Arial"/>
        </w:rPr>
      </w:pPr>
      <w:r>
        <w:rPr>
          <w:rFonts w:ascii="Arial" w:hAnsi="Arial"/>
        </w:rP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AF25CD" w:rsidRDefault="00AF25CD" w:rsidP="00AF25CD">
      <w:pPr>
        <w:spacing w:before="120"/>
        <w:rPr>
          <w:rFonts w:ascii="Arial" w:hAnsi="Arial"/>
        </w:rPr>
      </w:pPr>
      <w:r>
        <w:rPr>
          <w:rFonts w:ascii="Arial" w:hAnsi="Arial"/>
          <w:b/>
        </w:rPr>
        <w:t xml:space="preserve">2.5.2. </w:t>
      </w:r>
      <w:r>
        <w:rPr>
          <w:rFonts w:ascii="Arial" w:hAnsi="Arial"/>
        </w:rPr>
        <w:t>Warunki gwarancyjne producenta lub dostawcy znaku</w:t>
      </w:r>
    </w:p>
    <w:p w:rsidR="00AF25CD" w:rsidRDefault="00AF25CD" w:rsidP="00AF25CD">
      <w:pPr>
        <w:spacing w:before="120"/>
        <w:rPr>
          <w:rFonts w:ascii="Arial" w:hAnsi="Arial"/>
        </w:rPr>
      </w:pPr>
      <w:r>
        <w:rPr>
          <w:rFonts w:ascii="Arial" w:hAnsi="Arial"/>
        </w:rPr>
        <w:tab/>
        <w:t>Producent lub dostawca znaku obowiązany jest przy dostawie określić, uzgodnioną z odbiorcą, trwałość znaku oraz warunki gwarancyjne dla znaku, a także udostępnić na życzenie odbiorcy:</w:t>
      </w:r>
    </w:p>
    <w:p w:rsidR="00AF25CD" w:rsidRDefault="00AF25CD" w:rsidP="00AF25CD">
      <w:pPr>
        <w:numPr>
          <w:ilvl w:val="0"/>
          <w:numId w:val="2"/>
        </w:numPr>
        <w:rPr>
          <w:rFonts w:ascii="Arial" w:hAnsi="Arial"/>
        </w:rPr>
      </w:pPr>
      <w:r>
        <w:rPr>
          <w:rFonts w:ascii="Arial" w:hAnsi="Arial"/>
        </w:rPr>
        <w:t>instrukcję montażu znaku,</w:t>
      </w:r>
    </w:p>
    <w:p w:rsidR="00AF25CD" w:rsidRDefault="00AF25CD" w:rsidP="00AF25CD">
      <w:pPr>
        <w:numPr>
          <w:ilvl w:val="0"/>
          <w:numId w:val="2"/>
        </w:numPr>
        <w:rPr>
          <w:rFonts w:ascii="Arial" w:hAnsi="Arial"/>
        </w:rPr>
      </w:pPr>
      <w:r>
        <w:rPr>
          <w:rFonts w:ascii="Arial" w:hAnsi="Arial"/>
        </w:rPr>
        <w:t>dane szczegółowe o ewentualnych ograniczeniach w stosowaniu znaku,</w:t>
      </w:r>
    </w:p>
    <w:p w:rsidR="00AF25CD" w:rsidRDefault="00AF25CD" w:rsidP="00AF25CD">
      <w:pPr>
        <w:numPr>
          <w:ilvl w:val="0"/>
          <w:numId w:val="2"/>
        </w:numPr>
        <w:rPr>
          <w:rFonts w:ascii="Arial" w:hAnsi="Arial"/>
        </w:rPr>
      </w:pPr>
      <w:r>
        <w:rPr>
          <w:rFonts w:ascii="Arial" w:hAnsi="Arial"/>
        </w:rPr>
        <w:t>instrukcję utrzymania znaku.</w:t>
      </w:r>
    </w:p>
    <w:p w:rsidR="00AF25CD" w:rsidRDefault="00AF25CD" w:rsidP="00AF25CD">
      <w:pPr>
        <w:rPr>
          <w:rFonts w:ascii="Arial" w:hAnsi="Arial"/>
        </w:rPr>
      </w:pPr>
    </w:p>
    <w:p w:rsidR="00AF25CD" w:rsidRDefault="00AF25CD" w:rsidP="00AF25CD">
      <w:pPr>
        <w:keepNext/>
        <w:rPr>
          <w:rFonts w:ascii="Arial" w:hAnsi="Arial"/>
        </w:rPr>
      </w:pPr>
      <w:r>
        <w:rPr>
          <w:rFonts w:ascii="Arial" w:hAnsi="Arial"/>
          <w:b/>
        </w:rPr>
        <w:t xml:space="preserve">2.5.3. </w:t>
      </w:r>
      <w:r>
        <w:rPr>
          <w:rFonts w:ascii="Arial" w:hAnsi="Arial"/>
        </w:rPr>
        <w:t>Materiały do wykonania tarczy znaku</w:t>
      </w:r>
    </w:p>
    <w:p w:rsidR="00AF25CD" w:rsidRDefault="00AF25CD" w:rsidP="00AF25CD">
      <w:pPr>
        <w:keepNext/>
        <w:rPr>
          <w:rFonts w:ascii="Arial" w:hAnsi="Arial"/>
        </w:rPr>
      </w:pPr>
    </w:p>
    <w:p w:rsidR="00AF25CD" w:rsidRDefault="00AF25CD" w:rsidP="00AF25CD">
      <w:pPr>
        <w:pStyle w:val="NormalWeb"/>
        <w:spacing w:before="0" w:after="0"/>
        <w:jc w:val="both"/>
        <w:rPr>
          <w:rFonts w:ascii="Arial" w:hAnsi="Arial"/>
          <w:sz w:val="20"/>
        </w:rPr>
      </w:pPr>
      <w:r>
        <w:rPr>
          <w:rFonts w:ascii="Arial" w:hAnsi="Arial"/>
          <w:sz w:val="20"/>
        </w:rPr>
        <w:t>Tarczę znaku należy wykonać z blachy stalowej  ocynkowanej ogniowo o grubości min. 1,25 mm wg PN-EN 10152:2004(U) lub innej grubości, które spełniają wymagania zawarte w tablicy 1. Tarcza tablicy o powierzchni &gt; 1 m2 powinna być wykonana z blachy ocynkowanej ogniowo o grubości min. 1,5 mm wg PN-EN 485-4:1997[10] lub PN-EN 10327:2005 (U) [14] lub PN-EN 10292:2003/ Al:2004/Al:2005(U) [13] lub z innej grubości, które spełniają wymagania zawarte w tablicy 1.</w:t>
      </w:r>
    </w:p>
    <w:p w:rsidR="00AF25CD" w:rsidRDefault="00AF25CD" w:rsidP="00AF25CD">
      <w:pPr>
        <w:pStyle w:val="NormalWeb"/>
        <w:spacing w:before="0" w:after="0"/>
        <w:jc w:val="both"/>
        <w:rPr>
          <w:rFonts w:ascii="Arial" w:hAnsi="Arial"/>
          <w:sz w:val="20"/>
        </w:rPr>
      </w:pPr>
      <w:r>
        <w:rPr>
          <w:rFonts w:ascii="Arial" w:hAnsi="Arial"/>
          <w:sz w:val="20"/>
        </w:rPr>
        <w:t xml:space="preserve">Znaki i tablice powinny spełniać następujące wymagania podane w tablicy 1. </w:t>
      </w:r>
    </w:p>
    <w:p w:rsidR="00AF25CD" w:rsidRDefault="00AF25CD" w:rsidP="00AF25CD">
      <w:pPr>
        <w:pStyle w:val="NormalWeb"/>
        <w:spacing w:before="0" w:after="0"/>
        <w:jc w:val="both"/>
        <w:rPr>
          <w:rFonts w:ascii="Arial" w:hAnsi="Arial"/>
          <w:b/>
          <w:sz w:val="20"/>
        </w:rPr>
      </w:pPr>
      <w:r>
        <w:rPr>
          <w:rFonts w:ascii="Arial" w:hAnsi="Arial"/>
          <w:b/>
          <w:sz w:val="20"/>
        </w:rPr>
        <w:t> </w:t>
      </w:r>
    </w:p>
    <w:p w:rsidR="00AF25CD" w:rsidRDefault="00AF25CD" w:rsidP="00AF25CD">
      <w:pPr>
        <w:pStyle w:val="NormalWeb"/>
        <w:spacing w:before="0" w:after="0"/>
        <w:jc w:val="both"/>
        <w:rPr>
          <w:rFonts w:ascii="Arial" w:hAnsi="Arial"/>
          <w:sz w:val="20"/>
        </w:rPr>
      </w:pPr>
      <w:r>
        <w:rPr>
          <w:rFonts w:ascii="Arial" w:hAnsi="Arial"/>
          <w:sz w:val="20"/>
        </w:rPr>
        <w:t>Tablica 1. Wymagania dla znaków i tarcz znaków drogowych</w:t>
      </w:r>
    </w:p>
    <w:tbl>
      <w:tblPr>
        <w:tblW w:w="0" w:type="auto"/>
        <w:tblInd w:w="-78" w:type="dxa"/>
        <w:tblLayout w:type="fixed"/>
        <w:tblCellMar>
          <w:left w:w="0" w:type="dxa"/>
          <w:right w:w="0" w:type="dxa"/>
        </w:tblCellMar>
        <w:tblLook w:val="04A0" w:firstRow="1" w:lastRow="0" w:firstColumn="1" w:lastColumn="0" w:noHBand="0" w:noVBand="1"/>
      </w:tblPr>
      <w:tblGrid>
        <w:gridCol w:w="1993"/>
        <w:gridCol w:w="1282"/>
        <w:gridCol w:w="2337"/>
        <w:gridCol w:w="1899"/>
      </w:tblGrid>
      <w:tr w:rsidR="00AF25CD" w:rsidTr="00AF25CD">
        <w:tc>
          <w:tcPr>
            <w:tcW w:w="1993" w:type="dxa"/>
            <w:tcBorders>
              <w:top w:val="single" w:sz="6" w:space="0" w:color="auto"/>
              <w:left w:val="single" w:sz="6" w:space="0" w:color="auto"/>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Parametr</w:t>
            </w:r>
          </w:p>
        </w:tc>
        <w:tc>
          <w:tcPr>
            <w:tcW w:w="1282" w:type="dxa"/>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Jednostka</w:t>
            </w:r>
          </w:p>
        </w:tc>
        <w:tc>
          <w:tcPr>
            <w:tcW w:w="2337" w:type="dxa"/>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Wymaganie</w:t>
            </w:r>
          </w:p>
        </w:tc>
        <w:tc>
          <w:tcPr>
            <w:tcW w:w="1899" w:type="dxa"/>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lang w:val="de-DE"/>
              </w:rPr>
            </w:pPr>
            <w:proofErr w:type="spellStart"/>
            <w:r>
              <w:rPr>
                <w:rFonts w:ascii="Arial" w:hAnsi="Arial"/>
                <w:sz w:val="20"/>
                <w:lang w:val="de-DE"/>
              </w:rPr>
              <w:t>Klasa</w:t>
            </w:r>
            <w:proofErr w:type="spellEnd"/>
            <w:r>
              <w:rPr>
                <w:rFonts w:ascii="Arial" w:hAnsi="Arial"/>
                <w:sz w:val="20"/>
                <w:lang w:val="de-DE"/>
              </w:rPr>
              <w:t xml:space="preserve"> </w:t>
            </w:r>
            <w:proofErr w:type="spellStart"/>
            <w:r>
              <w:rPr>
                <w:rFonts w:ascii="Arial" w:hAnsi="Arial"/>
                <w:sz w:val="20"/>
                <w:lang w:val="de-DE"/>
              </w:rPr>
              <w:t>wg</w:t>
            </w:r>
            <w:proofErr w:type="spellEnd"/>
            <w:r>
              <w:rPr>
                <w:rFonts w:ascii="Arial" w:hAnsi="Arial"/>
                <w:sz w:val="20"/>
                <w:lang w:val="de-DE"/>
              </w:rPr>
              <w:t xml:space="preserve"> PN-EN 12899-1:2005[16]</w:t>
            </w:r>
          </w:p>
        </w:tc>
      </w:tr>
      <w:tr w:rsidR="00AF25CD" w:rsidTr="00AF25CD">
        <w:tc>
          <w:tcPr>
            <w:tcW w:w="199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Wytrzymałość na obciążenie siłą naporu wiatru</w:t>
            </w:r>
          </w:p>
        </w:tc>
        <w:tc>
          <w:tcPr>
            <w:tcW w:w="128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vertAlign w:val="superscript"/>
              </w:rPr>
            </w:pPr>
            <w:r>
              <w:rPr>
                <w:rFonts w:ascii="Arial" w:hAnsi="Arial"/>
                <w:sz w:val="20"/>
              </w:rPr>
              <w:t>kNm</w:t>
            </w:r>
            <w:r>
              <w:rPr>
                <w:rFonts w:ascii="Arial" w:hAnsi="Arial"/>
                <w:sz w:val="20"/>
                <w:vertAlign w:val="superscript"/>
              </w:rPr>
              <w:t>-2</w:t>
            </w:r>
          </w:p>
        </w:tc>
        <w:tc>
          <w:tcPr>
            <w:tcW w:w="2337"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0,60</w:t>
            </w:r>
          </w:p>
        </w:tc>
        <w:tc>
          <w:tcPr>
            <w:tcW w:w="1899"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WL4</w:t>
            </w:r>
          </w:p>
        </w:tc>
      </w:tr>
      <w:tr w:rsidR="00AF25CD" w:rsidTr="00AF25CD">
        <w:tc>
          <w:tcPr>
            <w:tcW w:w="199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Wytrzymałość na obciążenia skupione</w:t>
            </w:r>
          </w:p>
        </w:tc>
        <w:tc>
          <w:tcPr>
            <w:tcW w:w="128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proofErr w:type="spellStart"/>
            <w:r>
              <w:rPr>
                <w:rFonts w:ascii="Arial" w:hAnsi="Arial"/>
                <w:sz w:val="20"/>
              </w:rPr>
              <w:t>kN</w:t>
            </w:r>
            <w:proofErr w:type="spellEnd"/>
          </w:p>
        </w:tc>
        <w:tc>
          <w:tcPr>
            <w:tcW w:w="2337"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0,50</w:t>
            </w:r>
          </w:p>
        </w:tc>
        <w:tc>
          <w:tcPr>
            <w:tcW w:w="1899"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PL2</w:t>
            </w:r>
          </w:p>
        </w:tc>
      </w:tr>
      <w:tr w:rsidR="00AF25CD" w:rsidTr="00AF25CD">
        <w:tc>
          <w:tcPr>
            <w:tcW w:w="199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Chwilowe odkształcenie zginające</w:t>
            </w:r>
          </w:p>
        </w:tc>
        <w:tc>
          <w:tcPr>
            <w:tcW w:w="128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mm/m</w:t>
            </w:r>
          </w:p>
        </w:tc>
        <w:tc>
          <w:tcPr>
            <w:tcW w:w="2337"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25</w:t>
            </w:r>
          </w:p>
        </w:tc>
        <w:tc>
          <w:tcPr>
            <w:tcW w:w="1899"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TDB4</w:t>
            </w:r>
          </w:p>
        </w:tc>
      </w:tr>
      <w:tr w:rsidR="00AF25CD" w:rsidTr="00AF25CD">
        <w:tc>
          <w:tcPr>
            <w:tcW w:w="199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Rodzaj krawędzi znaku</w:t>
            </w:r>
          </w:p>
        </w:tc>
        <w:tc>
          <w:tcPr>
            <w:tcW w:w="128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t>
            </w:r>
          </w:p>
        </w:tc>
        <w:tc>
          <w:tcPr>
            <w:tcW w:w="2337" w:type="dxa"/>
            <w:tcBorders>
              <w:top w:val="nil"/>
              <w:left w:val="nil"/>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 xml:space="preserve">Zabezpieczona, krawędź tłoczona, zaginana </w:t>
            </w:r>
          </w:p>
        </w:tc>
        <w:tc>
          <w:tcPr>
            <w:tcW w:w="1899"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E2</w:t>
            </w:r>
          </w:p>
        </w:tc>
      </w:tr>
      <w:tr w:rsidR="00AF25CD" w:rsidTr="00AF25CD">
        <w:tc>
          <w:tcPr>
            <w:tcW w:w="199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Przewiercanie lica znaku</w:t>
            </w:r>
          </w:p>
        </w:tc>
        <w:tc>
          <w:tcPr>
            <w:tcW w:w="128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t>
            </w:r>
          </w:p>
        </w:tc>
        <w:tc>
          <w:tcPr>
            <w:tcW w:w="2337" w:type="dxa"/>
            <w:tcBorders>
              <w:top w:val="nil"/>
              <w:left w:val="nil"/>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Lico znaku nie może być przewiercone z żadnego powodu</w:t>
            </w:r>
          </w:p>
        </w:tc>
        <w:tc>
          <w:tcPr>
            <w:tcW w:w="1899"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P3</w:t>
            </w:r>
          </w:p>
        </w:tc>
      </w:tr>
    </w:tbl>
    <w:p w:rsidR="00AF25CD" w:rsidRDefault="00AF25CD" w:rsidP="00AF25CD">
      <w:pPr>
        <w:pStyle w:val="NormalWeb"/>
        <w:spacing w:before="0" w:after="0"/>
        <w:jc w:val="both"/>
        <w:rPr>
          <w:rFonts w:ascii="Arial" w:hAnsi="Arial"/>
          <w:b/>
          <w:sz w:val="20"/>
        </w:rPr>
      </w:pPr>
      <w:r>
        <w:rPr>
          <w:rFonts w:ascii="Arial" w:hAnsi="Arial"/>
          <w:b/>
          <w:sz w:val="20"/>
        </w:rPr>
        <w:t> </w:t>
      </w:r>
    </w:p>
    <w:p w:rsidR="00AF25CD" w:rsidRDefault="00AF25CD" w:rsidP="00AF25CD">
      <w:pPr>
        <w:pStyle w:val="NormalWeb"/>
        <w:spacing w:before="0" w:after="0"/>
        <w:jc w:val="both"/>
        <w:rPr>
          <w:rFonts w:ascii="Arial" w:hAnsi="Arial"/>
          <w:b/>
          <w:sz w:val="20"/>
        </w:rPr>
      </w:pPr>
      <w:r>
        <w:rPr>
          <w:rFonts w:ascii="Arial" w:hAnsi="Arial"/>
          <w:b/>
          <w:sz w:val="20"/>
        </w:rPr>
        <w:t> </w:t>
      </w:r>
    </w:p>
    <w:p w:rsidR="00AF25CD" w:rsidRDefault="00AF25CD" w:rsidP="00AF25CD">
      <w:pPr>
        <w:pStyle w:val="NormalWeb"/>
        <w:spacing w:before="0" w:after="0"/>
        <w:jc w:val="both"/>
        <w:rPr>
          <w:rFonts w:ascii="Arial" w:hAnsi="Arial"/>
          <w:sz w:val="20"/>
        </w:rPr>
      </w:pPr>
      <w:r>
        <w:rPr>
          <w:rFonts w:ascii="Arial" w:hAnsi="Arial"/>
          <w:sz w:val="20"/>
        </w:rPr>
        <w:t xml:space="preserve">Tarcza znaku musi być równa i gładka bez odkształceń płaszczyzny znaku (pofałdowań wgięć, lokalnych wgnieceń lub nierówności). Tolerancja wymiarów liniowych znaku wynosić powinna do 1,5% dla danej grupy wielkości znaków. Krawędzie tarczy znaków winny być usztywnione na pełnym obwodzie poprzez jej podwójne wywinięcie przy czym szerokość drugiego zagięcia prostopadłego względem pierwszego nie powinna być mniejsza niż 5 mm. Tarcze znaków  powinny posiadać poprzeczne profile służące do  montażu uchwytów łączących tarczę do konstrukcji wsporczej.  </w:t>
      </w:r>
    </w:p>
    <w:p w:rsidR="00AF25CD" w:rsidRDefault="00AF25CD" w:rsidP="00AF25CD">
      <w:pPr>
        <w:pStyle w:val="NormalWeb"/>
        <w:tabs>
          <w:tab w:val="left" w:pos="1080"/>
        </w:tabs>
        <w:spacing w:before="0" w:after="0"/>
        <w:jc w:val="both"/>
        <w:rPr>
          <w:rFonts w:ascii="Arial" w:hAnsi="Arial"/>
          <w:b/>
          <w:sz w:val="20"/>
        </w:rPr>
      </w:pPr>
      <w:r>
        <w:rPr>
          <w:rFonts w:ascii="Arial" w:hAnsi="Arial"/>
          <w:sz w:val="20"/>
        </w:rPr>
        <w:lastRenderedPageBreak/>
        <w:t xml:space="preserve">Tylna powierzchnia tarczy musi   być zabezpieczona przed procesami korozji ochronnymi powłokami chemicznymi oraz powłoką lakierniczą o grubości min. 60 </w:t>
      </w:r>
      <w:proofErr w:type="spellStart"/>
      <w:r>
        <w:rPr>
          <w:rFonts w:ascii="Arial" w:hAnsi="Arial"/>
          <w:sz w:val="20"/>
        </w:rPr>
        <w:t>μm</w:t>
      </w:r>
      <w:proofErr w:type="spellEnd"/>
      <w:r>
        <w:rPr>
          <w:rFonts w:ascii="Arial" w:hAnsi="Arial"/>
          <w:sz w:val="20"/>
        </w:rPr>
        <w:t xml:space="preserve"> z proszkowych farb poliestrowych szarych w kolorze RAL 7037; o współczynniku iluminacji 0.08 do 0.10.  Badania należy wykonywać zgodnie z PN 88/C-81523 [4] oraz PN76/C-81521 [1] w zakresie odporności na działanie mgły solnej oraz wody. Wymagana jest taka przyczepność lakieru do podłoża i jego elastyczność, aby po zgięciu pomalowanej próbki pod kątem 180 stopni i promieniu zagięcia 6 mm nie nastąpiło pękanie powłoki farby.  </w:t>
      </w:r>
    </w:p>
    <w:p w:rsidR="00AF25CD" w:rsidRDefault="00AF25CD" w:rsidP="00AF25CD">
      <w:pPr>
        <w:pStyle w:val="NormalWeb"/>
        <w:spacing w:before="0" w:after="0"/>
        <w:jc w:val="both"/>
        <w:rPr>
          <w:rFonts w:ascii="Arial" w:hAnsi="Arial"/>
          <w:b/>
          <w:sz w:val="20"/>
        </w:rPr>
      </w:pPr>
      <w:r>
        <w:rPr>
          <w:rFonts w:ascii="Arial" w:hAnsi="Arial"/>
          <w:b/>
          <w:sz w:val="20"/>
        </w:rPr>
        <w:t> </w:t>
      </w:r>
    </w:p>
    <w:p w:rsidR="00AF25CD" w:rsidRDefault="00AF25CD" w:rsidP="00AF25CD">
      <w:pPr>
        <w:pStyle w:val="NormalWeb"/>
        <w:spacing w:before="0" w:after="0"/>
        <w:jc w:val="both"/>
        <w:rPr>
          <w:rFonts w:ascii="Arial" w:hAnsi="Arial"/>
          <w:b/>
          <w:sz w:val="20"/>
        </w:rPr>
      </w:pPr>
      <w:r>
        <w:rPr>
          <w:rFonts w:ascii="Arial" w:hAnsi="Arial"/>
          <w:b/>
          <w:sz w:val="20"/>
        </w:rPr>
        <w:t>2.6. Znaki odblaskowe</w:t>
      </w:r>
    </w:p>
    <w:p w:rsidR="00AF25CD" w:rsidRDefault="00AF25CD" w:rsidP="00AF25CD">
      <w:pPr>
        <w:pStyle w:val="NormalWeb"/>
        <w:spacing w:before="0" w:after="0"/>
        <w:jc w:val="both"/>
        <w:rPr>
          <w:rFonts w:ascii="Arial" w:hAnsi="Arial"/>
          <w:b/>
          <w:sz w:val="20"/>
        </w:rPr>
      </w:pPr>
    </w:p>
    <w:p w:rsidR="00AF25CD" w:rsidRDefault="00AF25CD" w:rsidP="00AF25CD">
      <w:pPr>
        <w:pStyle w:val="NormalWeb"/>
        <w:spacing w:before="0" w:after="0"/>
        <w:jc w:val="both"/>
        <w:rPr>
          <w:rFonts w:ascii="Arial" w:hAnsi="Arial"/>
          <w:sz w:val="20"/>
        </w:rPr>
      </w:pPr>
      <w:r>
        <w:rPr>
          <w:rFonts w:ascii="Arial" w:hAnsi="Arial"/>
          <w:b/>
          <w:sz w:val="20"/>
        </w:rPr>
        <w:t xml:space="preserve">2.6.1. </w:t>
      </w:r>
      <w:r>
        <w:rPr>
          <w:rFonts w:ascii="Arial" w:hAnsi="Arial"/>
          <w:sz w:val="20"/>
        </w:rPr>
        <w:t>Wymagania dotyczące powierzchni odblaskowej</w:t>
      </w:r>
    </w:p>
    <w:p w:rsidR="00AF25CD" w:rsidRDefault="00AF25CD" w:rsidP="00AF25CD">
      <w:pPr>
        <w:pStyle w:val="NormalWeb"/>
        <w:spacing w:before="0" w:after="0"/>
        <w:jc w:val="both"/>
        <w:rPr>
          <w:rFonts w:ascii="Arial" w:hAnsi="Arial"/>
          <w:sz w:val="20"/>
        </w:rPr>
      </w:pPr>
    </w:p>
    <w:p w:rsidR="00AF25CD" w:rsidRDefault="00AF25CD" w:rsidP="00AF25CD">
      <w:pPr>
        <w:pStyle w:val="NormalWeb"/>
        <w:spacing w:before="0" w:after="0"/>
        <w:ind w:firstLine="708"/>
        <w:jc w:val="both"/>
        <w:rPr>
          <w:rFonts w:ascii="Arial" w:hAnsi="Arial"/>
          <w:sz w:val="20"/>
        </w:rPr>
      </w:pPr>
      <w:r>
        <w:rPr>
          <w:rFonts w:ascii="Arial" w:hAnsi="Arial"/>
          <w:sz w:val="20"/>
        </w:rPr>
        <w:t xml:space="preserve">Znaki drogowe odblaskowe należy wykonać przez oklejenie powierzchni znaku materiałem odblaskowym. </w:t>
      </w:r>
    </w:p>
    <w:p w:rsidR="00AF25CD" w:rsidRDefault="00AF25CD" w:rsidP="00AF25CD">
      <w:pPr>
        <w:pStyle w:val="NormalWeb"/>
        <w:spacing w:before="0" w:after="0"/>
        <w:jc w:val="both"/>
        <w:rPr>
          <w:rFonts w:ascii="Arial" w:hAnsi="Arial"/>
          <w:sz w:val="20"/>
        </w:rPr>
      </w:pPr>
      <w:r>
        <w:rPr>
          <w:rFonts w:ascii="Arial" w:hAnsi="Arial"/>
          <w:sz w:val="20"/>
        </w:rPr>
        <w:t>Właściwości folii odblaskowej (odbijająca powrotnie) powinny spełniać wymagania określone w aprobacie technicznej.</w:t>
      </w:r>
    </w:p>
    <w:p w:rsidR="00AF25CD" w:rsidRDefault="00AF25CD" w:rsidP="00AF25CD">
      <w:pPr>
        <w:pStyle w:val="NormalWeb"/>
        <w:spacing w:before="0" w:after="0"/>
        <w:jc w:val="both"/>
        <w:rPr>
          <w:rFonts w:ascii="Arial" w:hAnsi="Arial"/>
          <w:sz w:val="20"/>
        </w:rPr>
      </w:pPr>
      <w:r>
        <w:rPr>
          <w:rFonts w:ascii="Arial" w:hAnsi="Arial"/>
          <w:sz w:val="20"/>
        </w:rPr>
        <w:t>Strony czołowe znaków zawierających ich treść (lico znaku) należy wykonać z samoprzylepnej folii odblaskowej o właściwościach fotometrycznych i kolorymetrycznych typu 1 lub 2. Do nanoszenia barw innych niż biała można stosować farby transparentne do sitodruku, zalecane przez producenta danej folii.</w:t>
      </w:r>
    </w:p>
    <w:p w:rsidR="00AF25CD" w:rsidRDefault="00AF25CD" w:rsidP="00AF25CD">
      <w:pPr>
        <w:pStyle w:val="NormalWeb"/>
        <w:spacing w:before="0" w:after="0"/>
        <w:jc w:val="both"/>
        <w:rPr>
          <w:rFonts w:ascii="Arial" w:hAnsi="Arial"/>
          <w:sz w:val="20"/>
        </w:rPr>
      </w:pPr>
      <w:r>
        <w:rPr>
          <w:rFonts w:ascii="Arial" w:hAnsi="Arial"/>
          <w:sz w:val="20"/>
        </w:rPr>
        <w:t xml:space="preserve">Minimalne wartości gęstości powierzchniowej współczynnika odblasku dla folii odblaskowych typu 1 i 2 naniesionych na lica znaków nowych zostały określone w tablicy 2. </w:t>
      </w:r>
    </w:p>
    <w:p w:rsidR="00AF25CD" w:rsidRDefault="00AF25CD" w:rsidP="00AF25CD">
      <w:pPr>
        <w:pStyle w:val="NormalWeb"/>
        <w:spacing w:before="0" w:after="0"/>
        <w:ind w:firstLine="708"/>
        <w:jc w:val="both"/>
        <w:rPr>
          <w:rFonts w:ascii="Arial" w:hAnsi="Arial"/>
          <w:b/>
          <w:sz w:val="20"/>
        </w:rPr>
      </w:pPr>
      <w:r>
        <w:rPr>
          <w:rFonts w:ascii="Arial" w:hAnsi="Arial"/>
          <w:b/>
          <w:sz w:val="20"/>
        </w:rPr>
        <w:t> </w:t>
      </w:r>
    </w:p>
    <w:p w:rsidR="00AF25CD" w:rsidRDefault="00AF25CD" w:rsidP="00AF25CD">
      <w:pPr>
        <w:pStyle w:val="NormalWeb"/>
        <w:spacing w:before="0" w:after="0"/>
        <w:ind w:firstLine="708"/>
        <w:jc w:val="both"/>
        <w:rPr>
          <w:rFonts w:ascii="Arial" w:hAnsi="Arial"/>
          <w:b/>
          <w:sz w:val="20"/>
        </w:rPr>
      </w:pPr>
    </w:p>
    <w:p w:rsidR="00AF25CD" w:rsidRDefault="00AF25CD" w:rsidP="00AF25CD">
      <w:pPr>
        <w:pStyle w:val="NormalWeb"/>
        <w:spacing w:before="0" w:after="0"/>
        <w:ind w:firstLine="708"/>
        <w:jc w:val="both"/>
        <w:rPr>
          <w:rFonts w:ascii="Arial" w:hAnsi="Arial"/>
          <w:b/>
          <w:sz w:val="20"/>
        </w:rPr>
      </w:pPr>
    </w:p>
    <w:p w:rsidR="00AF25CD" w:rsidRDefault="00AF25CD" w:rsidP="00AF25CD">
      <w:pPr>
        <w:pStyle w:val="NormalWeb"/>
        <w:spacing w:before="0" w:after="0"/>
        <w:rPr>
          <w:rFonts w:ascii="Arial" w:hAnsi="Arial"/>
          <w:sz w:val="20"/>
        </w:rPr>
      </w:pPr>
      <w:r>
        <w:rPr>
          <w:rFonts w:ascii="Arial" w:hAnsi="Arial"/>
          <w:sz w:val="20"/>
        </w:rPr>
        <w:t xml:space="preserve">Tablica 2. Wymagania dla  współczynnika odblasku R’, współczynnika luminancji i współrzędne chromatyczności </w:t>
      </w:r>
      <w:proofErr w:type="spellStart"/>
      <w:r>
        <w:rPr>
          <w:rFonts w:ascii="Arial" w:hAnsi="Arial"/>
          <w:sz w:val="20"/>
        </w:rPr>
        <w:t>x,y</w:t>
      </w:r>
      <w:proofErr w:type="spellEnd"/>
    </w:p>
    <w:tbl>
      <w:tblPr>
        <w:tblW w:w="0" w:type="auto"/>
        <w:jc w:val="center"/>
        <w:tblLayout w:type="fixed"/>
        <w:tblCellMar>
          <w:left w:w="0" w:type="dxa"/>
          <w:right w:w="0" w:type="dxa"/>
        </w:tblCellMar>
        <w:tblLook w:val="04A0" w:firstRow="1" w:lastRow="0" w:firstColumn="1" w:lastColumn="0" w:noHBand="0" w:noVBand="1"/>
      </w:tblPr>
      <w:tblGrid>
        <w:gridCol w:w="723"/>
        <w:gridCol w:w="2851"/>
        <w:gridCol w:w="1204"/>
        <w:gridCol w:w="1353"/>
        <w:gridCol w:w="1353"/>
      </w:tblGrid>
      <w:tr w:rsidR="00AF25CD" w:rsidTr="00AF25CD">
        <w:trPr>
          <w:jc w:val="center"/>
        </w:trPr>
        <w:tc>
          <w:tcPr>
            <w:tcW w:w="723" w:type="dxa"/>
            <w:tcBorders>
              <w:top w:val="single" w:sz="6" w:space="0" w:color="auto"/>
              <w:left w:val="single" w:sz="6" w:space="0" w:color="auto"/>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Lp.</w:t>
            </w:r>
          </w:p>
        </w:tc>
        <w:tc>
          <w:tcPr>
            <w:tcW w:w="2851" w:type="dxa"/>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Właściwości</w:t>
            </w:r>
          </w:p>
        </w:tc>
        <w:tc>
          <w:tcPr>
            <w:tcW w:w="1204" w:type="dxa"/>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Jednostki</w:t>
            </w:r>
          </w:p>
        </w:tc>
        <w:tc>
          <w:tcPr>
            <w:tcW w:w="2706" w:type="dxa"/>
            <w:gridSpan w:val="2"/>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Wymagania</w:t>
            </w:r>
          </w:p>
        </w:tc>
      </w:tr>
      <w:tr w:rsidR="00AF25CD" w:rsidTr="00AF25CD">
        <w:trPr>
          <w:jc w:val="center"/>
        </w:trPr>
        <w:tc>
          <w:tcPr>
            <w:tcW w:w="72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1</w:t>
            </w:r>
          </w:p>
        </w:tc>
        <w:tc>
          <w:tcPr>
            <w:tcW w:w="2851" w:type="dxa"/>
            <w:tcBorders>
              <w:top w:val="nil"/>
              <w:left w:val="nil"/>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Współczynnik odblasku R’ )kąt oświetlenia 5</w:t>
            </w:r>
            <w:r>
              <w:rPr>
                <w:rFonts w:ascii="Arial" w:hAnsi="Arial"/>
                <w:sz w:val="20"/>
                <w:vertAlign w:val="superscript"/>
              </w:rPr>
              <w:t>0</w:t>
            </w:r>
            <w:r>
              <w:rPr>
                <w:rFonts w:ascii="Arial" w:hAnsi="Arial"/>
                <w:sz w:val="20"/>
              </w:rPr>
              <w:t>, kąt obserwacji 0,33</w:t>
            </w:r>
            <w:r>
              <w:rPr>
                <w:rFonts w:ascii="Arial" w:hAnsi="Arial"/>
                <w:sz w:val="20"/>
                <w:vertAlign w:val="superscript"/>
              </w:rPr>
              <w:t>0</w:t>
            </w:r>
            <w:r>
              <w:rPr>
                <w:rFonts w:ascii="Arial" w:hAnsi="Arial"/>
                <w:sz w:val="20"/>
              </w:rPr>
              <w:t>) dla folii:</w:t>
            </w:r>
          </w:p>
          <w:p w:rsidR="00AF25CD" w:rsidRDefault="00AF25CD">
            <w:pPr>
              <w:pStyle w:val="NormalWeb"/>
              <w:tabs>
                <w:tab w:val="left" w:pos="1080"/>
              </w:tabs>
              <w:spacing w:before="0" w:after="0"/>
              <w:ind w:left="720"/>
              <w:rPr>
                <w:rFonts w:ascii="Arial" w:hAnsi="Arial"/>
                <w:sz w:val="20"/>
              </w:rPr>
            </w:pPr>
            <w:r>
              <w:rPr>
                <w:rFonts w:ascii="Arial" w:hAnsi="Arial"/>
                <w:sz w:val="20"/>
              </w:rPr>
              <w:t>-         białej</w:t>
            </w:r>
          </w:p>
          <w:p w:rsidR="00AF25CD" w:rsidRDefault="00AF25CD">
            <w:pPr>
              <w:pStyle w:val="NormalWeb"/>
              <w:tabs>
                <w:tab w:val="left" w:pos="1080"/>
              </w:tabs>
              <w:spacing w:before="0" w:after="0"/>
              <w:ind w:left="720"/>
              <w:rPr>
                <w:rFonts w:ascii="Arial" w:hAnsi="Arial"/>
                <w:sz w:val="20"/>
              </w:rPr>
            </w:pPr>
            <w:r>
              <w:rPr>
                <w:rFonts w:ascii="Arial" w:hAnsi="Arial"/>
                <w:sz w:val="20"/>
              </w:rPr>
              <w:t>-         żółtej,</w:t>
            </w:r>
          </w:p>
          <w:p w:rsidR="00AF25CD" w:rsidRDefault="00AF25CD">
            <w:pPr>
              <w:pStyle w:val="NormalWeb"/>
              <w:tabs>
                <w:tab w:val="left" w:pos="1080"/>
              </w:tabs>
              <w:spacing w:before="0" w:after="0"/>
              <w:ind w:left="720"/>
              <w:rPr>
                <w:rFonts w:ascii="Arial" w:hAnsi="Arial"/>
                <w:sz w:val="20"/>
              </w:rPr>
            </w:pPr>
            <w:r>
              <w:rPr>
                <w:rFonts w:ascii="Arial" w:hAnsi="Arial"/>
                <w:sz w:val="20"/>
              </w:rPr>
              <w:t>-         czerwonej,</w:t>
            </w:r>
          </w:p>
          <w:p w:rsidR="00AF25CD" w:rsidRDefault="00AF25CD">
            <w:pPr>
              <w:pStyle w:val="NormalWeb"/>
              <w:tabs>
                <w:tab w:val="left" w:pos="1080"/>
              </w:tabs>
              <w:spacing w:before="0" w:after="0"/>
              <w:ind w:left="720"/>
              <w:rPr>
                <w:rFonts w:ascii="Arial" w:hAnsi="Arial"/>
                <w:sz w:val="20"/>
              </w:rPr>
            </w:pPr>
            <w:r>
              <w:rPr>
                <w:rFonts w:ascii="Arial" w:hAnsi="Arial"/>
                <w:sz w:val="20"/>
              </w:rPr>
              <w:t>-         zielonej,</w:t>
            </w:r>
          </w:p>
          <w:p w:rsidR="00AF25CD" w:rsidRDefault="00AF25CD">
            <w:pPr>
              <w:pStyle w:val="NormalWeb"/>
              <w:tabs>
                <w:tab w:val="left" w:pos="1080"/>
              </w:tabs>
              <w:spacing w:before="0" w:after="0"/>
              <w:ind w:left="720"/>
              <w:rPr>
                <w:rFonts w:ascii="Arial" w:hAnsi="Arial"/>
                <w:sz w:val="20"/>
              </w:rPr>
            </w:pPr>
            <w:r>
              <w:rPr>
                <w:rFonts w:ascii="Arial" w:hAnsi="Arial"/>
                <w:sz w:val="20"/>
              </w:rPr>
              <w:t>-         niebieskiej,</w:t>
            </w:r>
          </w:p>
          <w:p w:rsidR="00AF25CD" w:rsidRDefault="00AF25CD">
            <w:pPr>
              <w:pStyle w:val="NormalWeb"/>
              <w:tabs>
                <w:tab w:val="left" w:pos="1080"/>
              </w:tabs>
              <w:spacing w:before="0" w:after="0"/>
              <w:ind w:left="720"/>
              <w:rPr>
                <w:rFonts w:ascii="Arial" w:hAnsi="Arial"/>
                <w:sz w:val="20"/>
              </w:rPr>
            </w:pPr>
            <w:r>
              <w:rPr>
                <w:rFonts w:ascii="Arial" w:hAnsi="Arial"/>
                <w:sz w:val="20"/>
              </w:rPr>
              <w:t>-         brązowej,</w:t>
            </w:r>
          </w:p>
          <w:p w:rsidR="00AF25CD" w:rsidRDefault="00AF25CD">
            <w:pPr>
              <w:pStyle w:val="NormalWeb"/>
              <w:tabs>
                <w:tab w:val="left" w:pos="1080"/>
              </w:tabs>
              <w:spacing w:before="0" w:after="0"/>
              <w:ind w:left="720"/>
              <w:rPr>
                <w:rFonts w:ascii="Arial" w:hAnsi="Arial"/>
                <w:sz w:val="20"/>
              </w:rPr>
            </w:pPr>
            <w:r>
              <w:rPr>
                <w:rFonts w:ascii="Arial" w:hAnsi="Arial"/>
                <w:sz w:val="20"/>
              </w:rPr>
              <w:t>-         pomarańczowej,</w:t>
            </w:r>
          </w:p>
          <w:p w:rsidR="00AF25CD" w:rsidRDefault="00AF25CD">
            <w:pPr>
              <w:pStyle w:val="NormalWeb"/>
              <w:tabs>
                <w:tab w:val="left" w:pos="1080"/>
              </w:tabs>
              <w:spacing w:before="0" w:after="0"/>
              <w:ind w:left="720"/>
              <w:rPr>
                <w:rFonts w:ascii="Arial" w:hAnsi="Arial"/>
                <w:sz w:val="20"/>
              </w:rPr>
            </w:pPr>
            <w:r>
              <w:rPr>
                <w:rFonts w:ascii="Arial" w:hAnsi="Arial"/>
                <w:sz w:val="20"/>
              </w:rPr>
              <w:t>-         szarej</w:t>
            </w:r>
          </w:p>
        </w:tc>
        <w:tc>
          <w:tcPr>
            <w:tcW w:w="120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cd/m</w:t>
            </w:r>
            <w:r>
              <w:rPr>
                <w:rFonts w:ascii="Arial" w:hAnsi="Arial"/>
                <w:sz w:val="20"/>
                <w:vertAlign w:val="superscript"/>
              </w:rPr>
              <w:t>2</w:t>
            </w:r>
            <w:r>
              <w:rPr>
                <w:rFonts w:ascii="Arial" w:hAnsi="Arial"/>
                <w:sz w:val="20"/>
              </w:rPr>
              <w:t>1x</w:t>
            </w:r>
          </w:p>
        </w:tc>
        <w:tc>
          <w:tcPr>
            <w:tcW w:w="135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Typ 1</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xml:space="preserve"> 50</w:t>
            </w:r>
          </w:p>
          <w:p w:rsidR="00AF25CD" w:rsidRDefault="00AF25CD">
            <w:pPr>
              <w:pStyle w:val="NormalWeb"/>
              <w:spacing w:before="0" w:after="0"/>
              <w:jc w:val="center"/>
              <w:rPr>
                <w:rFonts w:ascii="Arial" w:hAnsi="Arial"/>
                <w:sz w:val="20"/>
              </w:rPr>
            </w:pPr>
            <w:r>
              <w:rPr>
                <w:rFonts w:ascii="Arial" w:hAnsi="Arial"/>
                <w:sz w:val="20"/>
              </w:rPr>
              <w:t xml:space="preserve"> 35</w:t>
            </w:r>
          </w:p>
          <w:p w:rsidR="00AF25CD" w:rsidRDefault="00AF25CD">
            <w:pPr>
              <w:pStyle w:val="NormalWeb"/>
              <w:spacing w:before="0" w:after="0"/>
              <w:jc w:val="center"/>
              <w:rPr>
                <w:rFonts w:ascii="Arial" w:hAnsi="Arial"/>
                <w:sz w:val="20"/>
              </w:rPr>
            </w:pPr>
            <w:r>
              <w:rPr>
                <w:rFonts w:ascii="Arial" w:hAnsi="Arial"/>
                <w:sz w:val="20"/>
              </w:rPr>
              <w:t xml:space="preserve"> 10</w:t>
            </w:r>
          </w:p>
          <w:p w:rsidR="00AF25CD" w:rsidRDefault="00AF25CD">
            <w:pPr>
              <w:pStyle w:val="NormalWeb"/>
              <w:spacing w:before="0" w:after="0"/>
              <w:jc w:val="center"/>
              <w:rPr>
                <w:rFonts w:ascii="Arial" w:hAnsi="Arial"/>
                <w:sz w:val="20"/>
              </w:rPr>
            </w:pPr>
            <w:r>
              <w:rPr>
                <w:rFonts w:ascii="Arial" w:hAnsi="Arial"/>
                <w:sz w:val="20"/>
              </w:rPr>
              <w:t xml:space="preserve"> 7</w:t>
            </w:r>
          </w:p>
          <w:p w:rsidR="00AF25CD" w:rsidRDefault="00AF25CD">
            <w:pPr>
              <w:pStyle w:val="NormalWeb"/>
              <w:spacing w:before="0" w:after="0"/>
              <w:jc w:val="center"/>
              <w:rPr>
                <w:rFonts w:ascii="Arial" w:hAnsi="Arial"/>
                <w:sz w:val="20"/>
              </w:rPr>
            </w:pPr>
            <w:r>
              <w:rPr>
                <w:rFonts w:ascii="Arial" w:hAnsi="Arial"/>
                <w:sz w:val="20"/>
              </w:rPr>
              <w:t xml:space="preserve"> 2</w:t>
            </w:r>
          </w:p>
          <w:p w:rsidR="00AF25CD" w:rsidRDefault="00AF25CD">
            <w:pPr>
              <w:pStyle w:val="NormalWeb"/>
              <w:spacing w:before="0" w:after="0"/>
              <w:jc w:val="center"/>
              <w:rPr>
                <w:rFonts w:ascii="Arial" w:hAnsi="Arial"/>
                <w:sz w:val="20"/>
              </w:rPr>
            </w:pPr>
            <w:r>
              <w:rPr>
                <w:rFonts w:ascii="Arial" w:hAnsi="Arial"/>
                <w:sz w:val="20"/>
              </w:rPr>
              <w:t xml:space="preserve"> 0,6</w:t>
            </w:r>
          </w:p>
          <w:p w:rsidR="00AF25CD" w:rsidRDefault="00AF25CD">
            <w:pPr>
              <w:pStyle w:val="NormalWeb"/>
              <w:spacing w:before="0" w:after="0"/>
              <w:jc w:val="center"/>
              <w:rPr>
                <w:rFonts w:ascii="Arial" w:hAnsi="Arial"/>
                <w:sz w:val="20"/>
              </w:rPr>
            </w:pPr>
            <w:r>
              <w:rPr>
                <w:rFonts w:ascii="Arial" w:hAnsi="Arial"/>
                <w:sz w:val="20"/>
              </w:rPr>
              <w:t xml:space="preserve"> 20</w:t>
            </w:r>
          </w:p>
          <w:p w:rsidR="00AF25CD" w:rsidRDefault="00AF25CD">
            <w:pPr>
              <w:pStyle w:val="NormalWeb"/>
              <w:spacing w:before="0" w:after="0"/>
              <w:jc w:val="center"/>
              <w:rPr>
                <w:rFonts w:ascii="Arial" w:hAnsi="Arial"/>
                <w:sz w:val="20"/>
              </w:rPr>
            </w:pPr>
            <w:r>
              <w:rPr>
                <w:rFonts w:ascii="Arial" w:hAnsi="Arial"/>
                <w:sz w:val="20"/>
              </w:rPr>
              <w:t>30</w:t>
            </w:r>
          </w:p>
        </w:tc>
        <w:tc>
          <w:tcPr>
            <w:tcW w:w="135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Typ 2</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xml:space="preserve"> 180</w:t>
            </w:r>
          </w:p>
          <w:p w:rsidR="00AF25CD" w:rsidRDefault="00AF25CD">
            <w:pPr>
              <w:pStyle w:val="NormalWeb"/>
              <w:spacing w:before="0" w:after="0"/>
              <w:jc w:val="center"/>
              <w:rPr>
                <w:rFonts w:ascii="Arial" w:hAnsi="Arial"/>
                <w:sz w:val="20"/>
              </w:rPr>
            </w:pPr>
            <w:r>
              <w:rPr>
                <w:rFonts w:ascii="Arial" w:hAnsi="Arial"/>
                <w:sz w:val="20"/>
              </w:rPr>
              <w:t xml:space="preserve"> 120</w:t>
            </w:r>
          </w:p>
          <w:p w:rsidR="00AF25CD" w:rsidRDefault="00AF25CD">
            <w:pPr>
              <w:pStyle w:val="NormalWeb"/>
              <w:spacing w:before="0" w:after="0"/>
              <w:jc w:val="center"/>
              <w:rPr>
                <w:rFonts w:ascii="Arial" w:hAnsi="Arial"/>
                <w:sz w:val="20"/>
              </w:rPr>
            </w:pPr>
            <w:r>
              <w:rPr>
                <w:rFonts w:ascii="Arial" w:hAnsi="Arial"/>
                <w:sz w:val="20"/>
              </w:rPr>
              <w:t xml:space="preserve"> 45</w:t>
            </w:r>
          </w:p>
          <w:p w:rsidR="00AF25CD" w:rsidRDefault="00AF25CD">
            <w:pPr>
              <w:pStyle w:val="NormalWeb"/>
              <w:spacing w:before="0" w:after="0"/>
              <w:jc w:val="center"/>
              <w:rPr>
                <w:rFonts w:ascii="Arial" w:hAnsi="Arial"/>
                <w:sz w:val="20"/>
              </w:rPr>
            </w:pPr>
            <w:r>
              <w:rPr>
                <w:rFonts w:ascii="Arial" w:hAnsi="Arial"/>
                <w:sz w:val="20"/>
              </w:rPr>
              <w:t xml:space="preserve"> 21</w:t>
            </w:r>
          </w:p>
          <w:p w:rsidR="00AF25CD" w:rsidRDefault="00AF25CD">
            <w:pPr>
              <w:pStyle w:val="NormalWeb"/>
              <w:spacing w:before="0" w:after="0"/>
              <w:jc w:val="center"/>
              <w:rPr>
                <w:rFonts w:ascii="Arial" w:hAnsi="Arial"/>
                <w:sz w:val="20"/>
              </w:rPr>
            </w:pPr>
            <w:r>
              <w:rPr>
                <w:rFonts w:ascii="Arial" w:hAnsi="Arial"/>
                <w:sz w:val="20"/>
              </w:rPr>
              <w:t xml:space="preserve"> 14</w:t>
            </w:r>
          </w:p>
          <w:p w:rsidR="00AF25CD" w:rsidRDefault="00AF25CD">
            <w:pPr>
              <w:pStyle w:val="NormalWeb"/>
              <w:spacing w:before="0" w:after="0"/>
              <w:jc w:val="center"/>
              <w:rPr>
                <w:rFonts w:ascii="Arial" w:hAnsi="Arial"/>
                <w:sz w:val="20"/>
              </w:rPr>
            </w:pPr>
            <w:r>
              <w:rPr>
                <w:rFonts w:ascii="Arial" w:hAnsi="Arial"/>
                <w:sz w:val="20"/>
              </w:rPr>
              <w:t xml:space="preserve"> 8</w:t>
            </w:r>
          </w:p>
          <w:p w:rsidR="00AF25CD" w:rsidRDefault="00AF25CD">
            <w:pPr>
              <w:pStyle w:val="NormalWeb"/>
              <w:spacing w:before="0" w:after="0"/>
              <w:jc w:val="center"/>
              <w:rPr>
                <w:rFonts w:ascii="Arial" w:hAnsi="Arial"/>
                <w:sz w:val="20"/>
              </w:rPr>
            </w:pPr>
            <w:r>
              <w:rPr>
                <w:rFonts w:ascii="Arial" w:hAnsi="Arial"/>
                <w:sz w:val="20"/>
              </w:rPr>
              <w:t xml:space="preserve"> 65</w:t>
            </w:r>
          </w:p>
          <w:p w:rsidR="00AF25CD" w:rsidRDefault="00AF25CD">
            <w:pPr>
              <w:pStyle w:val="NormalWeb"/>
              <w:spacing w:before="0" w:after="0"/>
              <w:jc w:val="center"/>
              <w:rPr>
                <w:rFonts w:ascii="Arial" w:hAnsi="Arial"/>
                <w:sz w:val="20"/>
              </w:rPr>
            </w:pPr>
            <w:r>
              <w:rPr>
                <w:rFonts w:ascii="Arial" w:hAnsi="Arial"/>
                <w:sz w:val="20"/>
              </w:rPr>
              <w:t xml:space="preserve"> 90</w:t>
            </w:r>
          </w:p>
        </w:tc>
      </w:tr>
      <w:tr w:rsidR="00AF25CD" w:rsidTr="00AF25CD">
        <w:trPr>
          <w:jc w:val="center"/>
        </w:trPr>
        <w:tc>
          <w:tcPr>
            <w:tcW w:w="723"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2</w:t>
            </w:r>
          </w:p>
        </w:tc>
        <w:tc>
          <w:tcPr>
            <w:tcW w:w="2851" w:type="dxa"/>
            <w:tcBorders>
              <w:top w:val="nil"/>
              <w:left w:val="nil"/>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Współczynnik luminacji ? ?i współrzędne chromatyczności x, y*) dla folii:</w:t>
            </w:r>
          </w:p>
          <w:p w:rsidR="00AF25CD" w:rsidRDefault="00AF25CD">
            <w:pPr>
              <w:pStyle w:val="NormalWeb"/>
              <w:tabs>
                <w:tab w:val="left" w:pos="1080"/>
              </w:tabs>
              <w:spacing w:before="0" w:after="0"/>
              <w:ind w:left="720"/>
              <w:rPr>
                <w:rFonts w:ascii="Arial" w:hAnsi="Arial"/>
                <w:sz w:val="20"/>
              </w:rPr>
            </w:pPr>
            <w:r>
              <w:rPr>
                <w:rFonts w:ascii="Arial" w:hAnsi="Arial"/>
                <w:sz w:val="20"/>
              </w:rPr>
              <w:t>-         białej,</w:t>
            </w:r>
          </w:p>
          <w:p w:rsidR="00AF25CD" w:rsidRDefault="00AF25CD">
            <w:pPr>
              <w:pStyle w:val="NormalWeb"/>
              <w:tabs>
                <w:tab w:val="left" w:pos="1080"/>
              </w:tabs>
              <w:spacing w:before="0" w:after="0"/>
              <w:ind w:left="720"/>
              <w:rPr>
                <w:rFonts w:ascii="Arial" w:hAnsi="Arial"/>
                <w:sz w:val="20"/>
              </w:rPr>
            </w:pPr>
            <w:r>
              <w:rPr>
                <w:rFonts w:ascii="Arial" w:hAnsi="Arial"/>
                <w:sz w:val="20"/>
              </w:rPr>
              <w:t>-         żółtej,</w:t>
            </w:r>
          </w:p>
          <w:p w:rsidR="00AF25CD" w:rsidRDefault="00AF25CD">
            <w:pPr>
              <w:pStyle w:val="NormalWeb"/>
              <w:tabs>
                <w:tab w:val="left" w:pos="1080"/>
              </w:tabs>
              <w:spacing w:before="0" w:after="0"/>
              <w:ind w:left="720"/>
              <w:rPr>
                <w:rFonts w:ascii="Arial" w:hAnsi="Arial"/>
                <w:sz w:val="20"/>
              </w:rPr>
            </w:pPr>
            <w:r>
              <w:rPr>
                <w:rFonts w:ascii="Arial" w:hAnsi="Arial"/>
                <w:sz w:val="20"/>
              </w:rPr>
              <w:t>-         czerwonej,</w:t>
            </w:r>
          </w:p>
          <w:p w:rsidR="00AF25CD" w:rsidRDefault="00AF25CD">
            <w:pPr>
              <w:pStyle w:val="NormalWeb"/>
              <w:tabs>
                <w:tab w:val="left" w:pos="1080"/>
              </w:tabs>
              <w:spacing w:before="0" w:after="0"/>
              <w:ind w:left="720"/>
              <w:rPr>
                <w:rFonts w:ascii="Arial" w:hAnsi="Arial"/>
                <w:sz w:val="20"/>
              </w:rPr>
            </w:pPr>
            <w:r>
              <w:rPr>
                <w:rFonts w:ascii="Arial" w:hAnsi="Arial"/>
                <w:sz w:val="20"/>
              </w:rPr>
              <w:t>-         zielonej,</w:t>
            </w:r>
          </w:p>
          <w:p w:rsidR="00AF25CD" w:rsidRDefault="00AF25CD">
            <w:pPr>
              <w:pStyle w:val="NormalWeb"/>
              <w:tabs>
                <w:tab w:val="left" w:pos="1080"/>
              </w:tabs>
              <w:spacing w:before="0" w:after="0"/>
              <w:ind w:left="720"/>
              <w:rPr>
                <w:rFonts w:ascii="Arial" w:hAnsi="Arial"/>
                <w:sz w:val="20"/>
              </w:rPr>
            </w:pPr>
            <w:r>
              <w:rPr>
                <w:rFonts w:ascii="Arial" w:hAnsi="Arial"/>
                <w:sz w:val="20"/>
              </w:rPr>
              <w:t>-         niebieskiej,</w:t>
            </w:r>
          </w:p>
          <w:p w:rsidR="00AF25CD" w:rsidRDefault="00AF25CD">
            <w:pPr>
              <w:pStyle w:val="NormalWeb"/>
              <w:tabs>
                <w:tab w:val="left" w:pos="1080"/>
              </w:tabs>
              <w:spacing w:before="0" w:after="0"/>
              <w:ind w:left="720"/>
              <w:rPr>
                <w:rFonts w:ascii="Arial" w:hAnsi="Arial"/>
                <w:sz w:val="20"/>
              </w:rPr>
            </w:pPr>
            <w:r>
              <w:rPr>
                <w:rFonts w:ascii="Arial" w:hAnsi="Arial"/>
                <w:sz w:val="20"/>
              </w:rPr>
              <w:t>-         brązowej,</w:t>
            </w:r>
          </w:p>
          <w:p w:rsidR="00AF25CD" w:rsidRDefault="00AF25CD">
            <w:pPr>
              <w:pStyle w:val="NormalWeb"/>
              <w:tabs>
                <w:tab w:val="left" w:pos="1080"/>
              </w:tabs>
              <w:spacing w:before="0" w:after="0"/>
              <w:ind w:left="720"/>
              <w:rPr>
                <w:rFonts w:ascii="Arial" w:hAnsi="Arial"/>
                <w:sz w:val="20"/>
              </w:rPr>
            </w:pPr>
            <w:r>
              <w:rPr>
                <w:rFonts w:ascii="Arial" w:hAnsi="Arial"/>
                <w:sz w:val="20"/>
              </w:rPr>
              <w:t>-         pomarańczowej,</w:t>
            </w:r>
          </w:p>
          <w:p w:rsidR="00AF25CD" w:rsidRDefault="00AF25CD">
            <w:pPr>
              <w:pStyle w:val="NormalWeb"/>
              <w:tabs>
                <w:tab w:val="left" w:pos="1080"/>
              </w:tabs>
              <w:spacing w:before="0" w:after="0"/>
              <w:ind w:left="720"/>
              <w:rPr>
                <w:rFonts w:ascii="Arial" w:hAnsi="Arial"/>
                <w:sz w:val="20"/>
              </w:rPr>
            </w:pPr>
            <w:r>
              <w:rPr>
                <w:rFonts w:ascii="Arial" w:hAnsi="Arial"/>
                <w:sz w:val="20"/>
              </w:rPr>
              <w:t>-         szarej.</w:t>
            </w:r>
          </w:p>
        </w:tc>
        <w:tc>
          <w:tcPr>
            <w:tcW w:w="120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t>
            </w:r>
          </w:p>
        </w:tc>
        <w:tc>
          <w:tcPr>
            <w:tcW w:w="135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Typ 1</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xml:space="preserve"> 0,35</w:t>
            </w:r>
          </w:p>
          <w:p w:rsidR="00AF25CD" w:rsidRDefault="00AF25CD">
            <w:pPr>
              <w:pStyle w:val="NormalWeb"/>
              <w:spacing w:before="0" w:after="0"/>
              <w:jc w:val="center"/>
              <w:rPr>
                <w:rFonts w:ascii="Arial" w:hAnsi="Arial"/>
                <w:sz w:val="20"/>
              </w:rPr>
            </w:pPr>
            <w:r>
              <w:rPr>
                <w:rFonts w:ascii="Arial" w:hAnsi="Arial"/>
                <w:sz w:val="20"/>
              </w:rPr>
              <w:t xml:space="preserve"> 0,27</w:t>
            </w:r>
          </w:p>
          <w:p w:rsidR="00AF25CD" w:rsidRDefault="00AF25CD">
            <w:pPr>
              <w:pStyle w:val="NormalWeb"/>
              <w:spacing w:before="0" w:after="0"/>
              <w:jc w:val="center"/>
              <w:rPr>
                <w:rFonts w:ascii="Arial" w:hAnsi="Arial"/>
                <w:sz w:val="20"/>
              </w:rPr>
            </w:pPr>
            <w:r>
              <w:rPr>
                <w:rFonts w:ascii="Arial" w:hAnsi="Arial"/>
                <w:sz w:val="20"/>
              </w:rPr>
              <w:t xml:space="preserve"> 0,05</w:t>
            </w:r>
          </w:p>
          <w:p w:rsidR="00AF25CD" w:rsidRDefault="00AF25CD">
            <w:pPr>
              <w:pStyle w:val="NormalWeb"/>
              <w:spacing w:before="0" w:after="0"/>
              <w:jc w:val="center"/>
              <w:rPr>
                <w:rFonts w:ascii="Arial" w:hAnsi="Arial"/>
                <w:sz w:val="20"/>
              </w:rPr>
            </w:pPr>
            <w:r>
              <w:rPr>
                <w:rFonts w:ascii="Arial" w:hAnsi="Arial"/>
                <w:sz w:val="20"/>
              </w:rPr>
              <w:t xml:space="preserve"> 0,04</w:t>
            </w:r>
          </w:p>
          <w:p w:rsidR="00AF25CD" w:rsidRDefault="00AF25CD">
            <w:pPr>
              <w:pStyle w:val="NormalWeb"/>
              <w:spacing w:before="0" w:after="0"/>
              <w:jc w:val="center"/>
              <w:rPr>
                <w:rFonts w:ascii="Arial" w:hAnsi="Arial"/>
                <w:sz w:val="20"/>
              </w:rPr>
            </w:pPr>
            <w:r>
              <w:rPr>
                <w:rFonts w:ascii="Arial" w:hAnsi="Arial"/>
                <w:sz w:val="20"/>
              </w:rPr>
              <w:t xml:space="preserve"> 0,01</w:t>
            </w:r>
          </w:p>
          <w:p w:rsidR="00AF25CD" w:rsidRDefault="00AF25CD">
            <w:pPr>
              <w:pStyle w:val="NormalWeb"/>
              <w:spacing w:before="0" w:after="0"/>
              <w:jc w:val="center"/>
              <w:rPr>
                <w:rFonts w:ascii="Arial" w:hAnsi="Arial"/>
                <w:sz w:val="20"/>
              </w:rPr>
            </w:pPr>
            <w:r>
              <w:rPr>
                <w:rFonts w:ascii="Arial" w:hAnsi="Arial"/>
                <w:sz w:val="20"/>
              </w:rPr>
              <w:t>0,09    0,03</w:t>
            </w:r>
          </w:p>
          <w:p w:rsidR="00AF25CD" w:rsidRDefault="00AF25CD">
            <w:pPr>
              <w:pStyle w:val="NormalWeb"/>
              <w:spacing w:before="0" w:after="0"/>
              <w:jc w:val="center"/>
              <w:rPr>
                <w:rFonts w:ascii="Arial" w:hAnsi="Arial"/>
                <w:sz w:val="20"/>
              </w:rPr>
            </w:pPr>
            <w:r>
              <w:rPr>
                <w:rFonts w:ascii="Arial" w:hAnsi="Arial"/>
                <w:sz w:val="20"/>
              </w:rPr>
              <w:t xml:space="preserve"> 0,17</w:t>
            </w:r>
          </w:p>
          <w:p w:rsidR="00AF25CD" w:rsidRDefault="00AF25CD">
            <w:pPr>
              <w:pStyle w:val="NormalWeb"/>
              <w:spacing w:before="0" w:after="0"/>
              <w:jc w:val="center"/>
              <w:rPr>
                <w:rFonts w:ascii="Arial" w:hAnsi="Arial"/>
                <w:sz w:val="20"/>
              </w:rPr>
            </w:pPr>
            <w:r>
              <w:rPr>
                <w:rFonts w:ascii="Arial" w:hAnsi="Arial"/>
                <w:sz w:val="20"/>
              </w:rPr>
              <w:t>0,18   0,12</w:t>
            </w:r>
          </w:p>
        </w:tc>
        <w:tc>
          <w:tcPr>
            <w:tcW w:w="135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Typ 2</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w:t>
            </w:r>
          </w:p>
          <w:p w:rsidR="00AF25CD" w:rsidRDefault="00AF25CD">
            <w:pPr>
              <w:pStyle w:val="NormalWeb"/>
              <w:spacing w:before="0" w:after="0"/>
              <w:jc w:val="center"/>
              <w:rPr>
                <w:rFonts w:ascii="Arial" w:hAnsi="Arial"/>
                <w:sz w:val="20"/>
              </w:rPr>
            </w:pPr>
            <w:r>
              <w:rPr>
                <w:rFonts w:ascii="Arial" w:hAnsi="Arial"/>
                <w:sz w:val="20"/>
              </w:rPr>
              <w:t xml:space="preserve"> 0,27</w:t>
            </w:r>
          </w:p>
          <w:p w:rsidR="00AF25CD" w:rsidRDefault="00AF25CD">
            <w:pPr>
              <w:pStyle w:val="NormalWeb"/>
              <w:spacing w:before="0" w:after="0"/>
              <w:jc w:val="center"/>
              <w:rPr>
                <w:rFonts w:ascii="Arial" w:hAnsi="Arial"/>
                <w:sz w:val="20"/>
              </w:rPr>
            </w:pPr>
            <w:r>
              <w:rPr>
                <w:rFonts w:ascii="Arial" w:hAnsi="Arial"/>
                <w:sz w:val="20"/>
              </w:rPr>
              <w:t xml:space="preserve"> 0,16</w:t>
            </w:r>
          </w:p>
          <w:p w:rsidR="00AF25CD" w:rsidRDefault="00AF25CD">
            <w:pPr>
              <w:pStyle w:val="NormalWeb"/>
              <w:spacing w:before="0" w:after="0"/>
              <w:jc w:val="center"/>
              <w:rPr>
                <w:rFonts w:ascii="Arial" w:hAnsi="Arial"/>
                <w:sz w:val="20"/>
              </w:rPr>
            </w:pPr>
            <w:r>
              <w:rPr>
                <w:rFonts w:ascii="Arial" w:hAnsi="Arial"/>
                <w:sz w:val="20"/>
              </w:rPr>
              <w:t xml:space="preserve"> 0,03</w:t>
            </w:r>
          </w:p>
          <w:p w:rsidR="00AF25CD" w:rsidRDefault="00AF25CD">
            <w:pPr>
              <w:pStyle w:val="NormalWeb"/>
              <w:spacing w:before="0" w:after="0"/>
              <w:jc w:val="center"/>
              <w:rPr>
                <w:rFonts w:ascii="Arial" w:hAnsi="Arial"/>
                <w:sz w:val="20"/>
              </w:rPr>
            </w:pPr>
            <w:r>
              <w:rPr>
                <w:rFonts w:ascii="Arial" w:hAnsi="Arial"/>
                <w:sz w:val="20"/>
              </w:rPr>
              <w:t xml:space="preserve"> 0,03</w:t>
            </w:r>
          </w:p>
          <w:p w:rsidR="00AF25CD" w:rsidRDefault="00AF25CD">
            <w:pPr>
              <w:pStyle w:val="NormalWeb"/>
              <w:spacing w:before="0" w:after="0"/>
              <w:jc w:val="center"/>
              <w:rPr>
                <w:rFonts w:ascii="Arial" w:hAnsi="Arial"/>
                <w:sz w:val="20"/>
              </w:rPr>
            </w:pPr>
            <w:r>
              <w:rPr>
                <w:rFonts w:ascii="Arial" w:hAnsi="Arial"/>
                <w:sz w:val="20"/>
              </w:rPr>
              <w:t xml:space="preserve"> 0,01</w:t>
            </w:r>
          </w:p>
          <w:p w:rsidR="00AF25CD" w:rsidRDefault="00AF25CD">
            <w:pPr>
              <w:pStyle w:val="NormalWeb"/>
              <w:spacing w:before="0" w:after="0"/>
              <w:jc w:val="center"/>
              <w:rPr>
                <w:rFonts w:ascii="Arial" w:hAnsi="Arial"/>
                <w:sz w:val="20"/>
              </w:rPr>
            </w:pPr>
            <w:r>
              <w:rPr>
                <w:rFonts w:ascii="Arial" w:hAnsi="Arial"/>
                <w:sz w:val="20"/>
              </w:rPr>
              <w:t>0,09   0,03</w:t>
            </w:r>
          </w:p>
          <w:p w:rsidR="00AF25CD" w:rsidRDefault="00AF25CD">
            <w:pPr>
              <w:pStyle w:val="NormalWeb"/>
              <w:spacing w:before="0" w:after="0"/>
              <w:jc w:val="center"/>
              <w:rPr>
                <w:rFonts w:ascii="Arial" w:hAnsi="Arial"/>
                <w:sz w:val="20"/>
              </w:rPr>
            </w:pPr>
            <w:r>
              <w:rPr>
                <w:rFonts w:ascii="Arial" w:hAnsi="Arial"/>
                <w:sz w:val="20"/>
              </w:rPr>
              <w:t>0,14</w:t>
            </w:r>
          </w:p>
          <w:p w:rsidR="00AF25CD" w:rsidRDefault="00AF25CD">
            <w:pPr>
              <w:pStyle w:val="NormalWeb"/>
              <w:spacing w:before="0" w:after="0"/>
              <w:jc w:val="center"/>
              <w:rPr>
                <w:rFonts w:ascii="Arial" w:hAnsi="Arial"/>
                <w:sz w:val="20"/>
              </w:rPr>
            </w:pPr>
            <w:r>
              <w:rPr>
                <w:rFonts w:ascii="Arial" w:hAnsi="Arial"/>
                <w:sz w:val="20"/>
              </w:rPr>
              <w:t>0,18   0,12</w:t>
            </w:r>
          </w:p>
        </w:tc>
      </w:tr>
      <w:tr w:rsidR="00AF25CD" w:rsidTr="00AF25CD">
        <w:trPr>
          <w:jc w:val="center"/>
        </w:trPr>
        <w:tc>
          <w:tcPr>
            <w:tcW w:w="7484" w:type="dxa"/>
            <w:gridSpan w:val="5"/>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 współrzędne chromatyczności x, y w polu barw według tablicy 3</w:t>
            </w:r>
          </w:p>
        </w:tc>
      </w:tr>
    </w:tbl>
    <w:p w:rsidR="00AF25CD" w:rsidRDefault="00AF25CD" w:rsidP="00AF25CD">
      <w:pPr>
        <w:pStyle w:val="NormalWeb"/>
        <w:spacing w:before="0" w:after="0"/>
        <w:jc w:val="both"/>
        <w:rPr>
          <w:rFonts w:ascii="Arial" w:hAnsi="Arial"/>
          <w:sz w:val="20"/>
        </w:rPr>
      </w:pPr>
      <w:r>
        <w:rPr>
          <w:rFonts w:ascii="Arial" w:hAnsi="Arial"/>
          <w:sz w:val="20"/>
        </w:rPr>
        <w:t> </w:t>
      </w:r>
    </w:p>
    <w:p w:rsidR="00AF25CD" w:rsidRDefault="00AF25CD" w:rsidP="00AF25CD">
      <w:pPr>
        <w:pStyle w:val="NormalWeb"/>
        <w:spacing w:before="0" w:after="0"/>
        <w:jc w:val="both"/>
        <w:rPr>
          <w:rFonts w:ascii="Arial" w:hAnsi="Arial"/>
          <w:sz w:val="20"/>
        </w:rPr>
      </w:pPr>
      <w:r>
        <w:rPr>
          <w:rFonts w:ascii="Arial" w:hAnsi="Arial"/>
          <w:sz w:val="20"/>
        </w:rPr>
        <w:t> </w:t>
      </w:r>
    </w:p>
    <w:p w:rsidR="00AF25CD" w:rsidRDefault="00AF25CD" w:rsidP="00AF25CD">
      <w:pPr>
        <w:pStyle w:val="NormalWeb"/>
        <w:spacing w:before="0" w:after="0"/>
        <w:rPr>
          <w:rFonts w:ascii="Arial" w:hAnsi="Arial"/>
          <w:sz w:val="20"/>
        </w:rPr>
      </w:pPr>
      <w:r>
        <w:rPr>
          <w:rFonts w:ascii="Arial" w:hAnsi="Arial"/>
          <w:sz w:val="20"/>
        </w:rPr>
        <w:t>Tablica 3. Współrzędne punktów narożnych wyznaczających pola barw</w:t>
      </w:r>
    </w:p>
    <w:tbl>
      <w:tblPr>
        <w:tblW w:w="0" w:type="auto"/>
        <w:jc w:val="center"/>
        <w:tblLayout w:type="fixed"/>
        <w:tblCellMar>
          <w:left w:w="0" w:type="dxa"/>
          <w:right w:w="0" w:type="dxa"/>
        </w:tblCellMar>
        <w:tblLook w:val="04A0" w:firstRow="1" w:lastRow="0" w:firstColumn="1" w:lastColumn="0" w:noHBand="0" w:noVBand="1"/>
      </w:tblPr>
      <w:tblGrid>
        <w:gridCol w:w="1608"/>
        <w:gridCol w:w="1054"/>
        <w:gridCol w:w="1212"/>
        <w:gridCol w:w="1212"/>
        <w:gridCol w:w="1212"/>
        <w:gridCol w:w="1213"/>
      </w:tblGrid>
      <w:tr w:rsidR="00AF25CD" w:rsidTr="00AF25CD">
        <w:trPr>
          <w:cantSplit/>
          <w:jc w:val="center"/>
        </w:trPr>
        <w:tc>
          <w:tcPr>
            <w:tcW w:w="2662" w:type="dxa"/>
            <w:gridSpan w:val="2"/>
            <w:tcBorders>
              <w:top w:val="single" w:sz="6" w:space="0" w:color="auto"/>
              <w:left w:val="single" w:sz="6" w:space="0" w:color="auto"/>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Barwa folii</w:t>
            </w:r>
          </w:p>
        </w:tc>
        <w:tc>
          <w:tcPr>
            <w:tcW w:w="4849" w:type="dxa"/>
            <w:gridSpan w:val="4"/>
            <w:tcBorders>
              <w:top w:val="single" w:sz="6" w:space="0" w:color="auto"/>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Współrzędne chromatyczności punktów narożnych wyznaczających pole barwy (źródło światła D</w:t>
            </w:r>
            <w:r>
              <w:rPr>
                <w:rFonts w:ascii="Arial" w:hAnsi="Arial"/>
                <w:sz w:val="20"/>
                <w:vertAlign w:val="subscript"/>
              </w:rPr>
              <w:t>65</w:t>
            </w:r>
            <w:r>
              <w:rPr>
                <w:rFonts w:ascii="Arial" w:hAnsi="Arial"/>
                <w:sz w:val="20"/>
              </w:rPr>
              <w:t>, geometria pomiaru 45/0</w:t>
            </w:r>
            <w:r>
              <w:rPr>
                <w:rFonts w:ascii="Arial" w:hAnsi="Arial"/>
                <w:sz w:val="20"/>
                <w:vertAlign w:val="superscript"/>
              </w:rPr>
              <w:t>0</w:t>
            </w:r>
            <w:r>
              <w:rPr>
                <w:rFonts w:ascii="Arial" w:hAnsi="Arial"/>
                <w:sz w:val="20"/>
              </w:rPr>
              <w:t>)</w:t>
            </w:r>
          </w:p>
        </w:tc>
      </w:tr>
      <w:tr w:rsidR="00AF25CD" w:rsidTr="00AF25CD">
        <w:trPr>
          <w:cantSplit/>
          <w:jc w:val="center"/>
        </w:trPr>
        <w:tc>
          <w:tcPr>
            <w:tcW w:w="2662" w:type="dxa"/>
            <w:gridSpan w:val="2"/>
            <w:tcBorders>
              <w:top w:val="single" w:sz="6" w:space="0" w:color="auto"/>
              <w:left w:val="single" w:sz="6" w:space="0" w:color="auto"/>
              <w:bottom w:val="single" w:sz="6" w:space="0" w:color="auto"/>
              <w:right w:val="single" w:sz="6" w:space="0" w:color="auto"/>
            </w:tcBorders>
          </w:tcPr>
          <w:p w:rsidR="00AF25CD" w:rsidRDefault="00AF25CD">
            <w:pPr>
              <w:rPr>
                <w:rFonts w:ascii="Arial" w:hAnsi="Arial"/>
              </w:rPr>
            </w:pP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1</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2</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3</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4</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Biała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0,355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0,305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0,285</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0,335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0,355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0,305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0,325</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0,375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Żółta typ 1 folii</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0,522</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0,470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0,427</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0,465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0,477</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0,440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0,483</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0,534</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lastRenderedPageBreak/>
              <w:t>Żółta typ 2 folii</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0,545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0,487</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0,427</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0,465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0,454</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0,423</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0,483</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0,534</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Czerwona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0,735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0,674</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0,569</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0,655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0,265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0,236</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0,341</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0,345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Niebieska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0,078</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0,150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0,210</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0,137</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0,171</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0,220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0,160</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0,038</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Zielona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0,007</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0,248</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0,177</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0,026</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0,703</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0,409</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0,362</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0,399</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Brązowa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0,455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0,523</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0,479</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0,558</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0,397</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0,429</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0,373</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0,394</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Pomarańczowa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0,610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0,535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0,506</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0,570</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0,390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0,375</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0,404</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0,429</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hideMark/>
          </w:tcPr>
          <w:p w:rsidR="00AF25CD" w:rsidRDefault="00AF25CD">
            <w:pPr>
              <w:pStyle w:val="NormalWeb"/>
              <w:spacing w:before="0" w:after="0"/>
              <w:rPr>
                <w:rFonts w:ascii="Arial" w:hAnsi="Arial"/>
                <w:sz w:val="20"/>
              </w:rPr>
            </w:pPr>
            <w:r>
              <w:rPr>
                <w:rFonts w:ascii="Arial" w:hAnsi="Arial"/>
                <w:sz w:val="20"/>
              </w:rPr>
              <w:t>Szara</w:t>
            </w: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x</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0,350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0,300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0,285</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0,335</w:t>
            </w:r>
          </w:p>
        </w:tc>
      </w:tr>
      <w:tr w:rsidR="00AF25CD" w:rsidTr="00AF25CD">
        <w:trPr>
          <w:cantSplit/>
          <w:jc w:val="center"/>
        </w:trPr>
        <w:tc>
          <w:tcPr>
            <w:tcW w:w="1608" w:type="dxa"/>
            <w:tcBorders>
              <w:top w:val="nil"/>
              <w:left w:val="single" w:sz="6" w:space="0" w:color="auto"/>
              <w:bottom w:val="single" w:sz="6" w:space="0" w:color="auto"/>
              <w:right w:val="single" w:sz="6" w:space="0" w:color="auto"/>
            </w:tcBorders>
          </w:tcPr>
          <w:p w:rsidR="00AF25CD" w:rsidRDefault="00AF25CD">
            <w:pPr>
              <w:rPr>
                <w:rFonts w:ascii="Arial" w:hAnsi="Arial"/>
              </w:rPr>
            </w:pPr>
          </w:p>
        </w:tc>
        <w:tc>
          <w:tcPr>
            <w:tcW w:w="1054"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y</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0,360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0,310</w:t>
            </w:r>
          </w:p>
        </w:tc>
        <w:tc>
          <w:tcPr>
            <w:tcW w:w="1212"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0,325</w:t>
            </w:r>
          </w:p>
        </w:tc>
        <w:tc>
          <w:tcPr>
            <w:tcW w:w="1213" w:type="dxa"/>
            <w:tcBorders>
              <w:top w:val="nil"/>
              <w:left w:val="nil"/>
              <w:bottom w:val="single" w:sz="6" w:space="0" w:color="auto"/>
              <w:right w:val="single" w:sz="6" w:space="0" w:color="auto"/>
            </w:tcBorders>
            <w:hideMark/>
          </w:tcPr>
          <w:p w:rsidR="00AF25CD" w:rsidRDefault="00AF25CD">
            <w:pPr>
              <w:pStyle w:val="NormalWeb"/>
              <w:spacing w:before="0" w:after="0"/>
              <w:jc w:val="center"/>
              <w:rPr>
                <w:rFonts w:ascii="Arial" w:hAnsi="Arial"/>
                <w:sz w:val="20"/>
              </w:rPr>
            </w:pPr>
            <w:r>
              <w:rPr>
                <w:rFonts w:ascii="Arial" w:hAnsi="Arial"/>
                <w:sz w:val="20"/>
              </w:rPr>
              <w:t>0,375</w:t>
            </w:r>
          </w:p>
        </w:tc>
      </w:tr>
    </w:tbl>
    <w:p w:rsidR="00AF25CD" w:rsidRDefault="00AF25CD" w:rsidP="00AF25CD">
      <w:pPr>
        <w:pStyle w:val="NormalWeb"/>
        <w:spacing w:before="0" w:after="0"/>
        <w:jc w:val="both"/>
      </w:pPr>
      <w:r>
        <w:t> </w:t>
      </w:r>
    </w:p>
    <w:p w:rsidR="00AF25CD" w:rsidRDefault="00AF25CD" w:rsidP="00AF25CD">
      <w:pPr>
        <w:rPr>
          <w:rFonts w:ascii="Arial" w:hAnsi="Arial"/>
        </w:rPr>
      </w:pPr>
      <w:r>
        <w:rPr>
          <w:rFonts w:ascii="Arial" w:hAnsi="Arial"/>
        </w:rPr>
        <w:tab/>
      </w:r>
    </w:p>
    <w:p w:rsidR="00AF25CD" w:rsidRDefault="00AF25CD" w:rsidP="00AF25CD">
      <w:pPr>
        <w:spacing w:before="120"/>
        <w:rPr>
          <w:rFonts w:ascii="Arial" w:hAnsi="Arial"/>
        </w:rPr>
      </w:pPr>
      <w:r>
        <w:rPr>
          <w:rFonts w:ascii="Arial" w:hAnsi="Arial"/>
          <w:b/>
        </w:rPr>
        <w:t xml:space="preserve">2.6.2. </w:t>
      </w:r>
      <w:r>
        <w:rPr>
          <w:rFonts w:ascii="Arial" w:hAnsi="Arial"/>
        </w:rPr>
        <w:t>Wymagania jakościowe znaku odblaskowego</w:t>
      </w:r>
    </w:p>
    <w:p w:rsidR="00AF25CD" w:rsidRDefault="00AF25CD" w:rsidP="00AF25CD">
      <w:pPr>
        <w:spacing w:before="120"/>
        <w:rPr>
          <w:rFonts w:ascii="Arial" w:hAnsi="Arial"/>
        </w:rPr>
      </w:pPr>
      <w:r>
        <w:rPr>
          <w:rFonts w:ascii="Arial" w:hAnsi="Arial"/>
        </w:rPr>
        <w:tab/>
        <w:t xml:space="preserve">Folie odblaskowe użyte do wykonania lica znaku powinny wykazywać pełne związanie z tarczą znaku przez cały okres wymaganej trwałości znaku. Niedopuszczalne są lokalne </w:t>
      </w:r>
      <w:proofErr w:type="spellStart"/>
      <w:r>
        <w:rPr>
          <w:rFonts w:ascii="Arial" w:hAnsi="Arial"/>
        </w:rPr>
        <w:t>niedoklejenia</w:t>
      </w:r>
      <w:proofErr w:type="spellEnd"/>
      <w:r>
        <w:rPr>
          <w:rFonts w:ascii="Arial" w:hAnsi="Arial"/>
        </w:rPr>
        <w:t>, odklejania, złuszczenia lub odstawanie folii na krawędziach tarczy znaku oraz na jego powierzchni.</w:t>
      </w:r>
    </w:p>
    <w:p w:rsidR="00AF25CD" w:rsidRDefault="00AF25CD" w:rsidP="00AF25CD">
      <w:pPr>
        <w:rPr>
          <w:rFonts w:ascii="Arial" w:hAnsi="Arial"/>
        </w:rPr>
      </w:pPr>
      <w:r>
        <w:rPr>
          <w:rFonts w:ascii="Arial" w:hAnsi="Arial"/>
        </w:rPr>
        <w:tab/>
        <w:t>Sposób połączenia folii z powierzchnią tarczy znaku powinien uniemożliwiać jej odłączenie od tarczy bez jej zniszczenia.</w:t>
      </w:r>
    </w:p>
    <w:p w:rsidR="00AF25CD" w:rsidRDefault="00AF25CD" w:rsidP="00AF25CD">
      <w:pPr>
        <w:rPr>
          <w:rFonts w:ascii="Arial" w:hAnsi="Arial"/>
        </w:rPr>
      </w:pPr>
      <w:r>
        <w:rPr>
          <w:rFonts w:ascii="Arial" w:hAnsi="Arial"/>
        </w:rPr>
        <w:tab/>
        <w:t>Przy malowaniu lub klejeniu symboli lub obrzeży znaków na folii odblaskowej, technologia malowania lub klejenia oraz stosowane w tym celu materiały powinny być uzgodnione z producentem folii.</w:t>
      </w:r>
      <w:r>
        <w:rPr>
          <w:rFonts w:ascii="Arial" w:hAnsi="Arial"/>
        </w:rPr>
        <w:tab/>
      </w:r>
    </w:p>
    <w:p w:rsidR="00AF25CD" w:rsidRDefault="00AF25CD" w:rsidP="00AF25CD">
      <w:pPr>
        <w:rPr>
          <w:rFonts w:ascii="Arial" w:hAnsi="Arial"/>
        </w:rPr>
      </w:pPr>
      <w:r>
        <w:rPr>
          <w:rFonts w:ascii="Arial" w:hAnsi="Arial"/>
        </w:rPr>
        <w:tab/>
        <w:t>Dokładność rysunku znaku powinna być taka, aby wady konturów znaku, które mogą powstać przy nanoszeniu farby na odblaskową powierzchnię znaku, nie były większe niż:</w:t>
      </w:r>
    </w:p>
    <w:p w:rsidR="00AF25CD" w:rsidRDefault="00AF25CD" w:rsidP="00AF25CD">
      <w:pPr>
        <w:numPr>
          <w:ilvl w:val="0"/>
          <w:numId w:val="3"/>
        </w:numPr>
        <w:ind w:left="0" w:firstLine="0"/>
        <w:rPr>
          <w:rFonts w:ascii="Arial" w:hAnsi="Arial"/>
        </w:rPr>
      </w:pPr>
      <w:r>
        <w:rPr>
          <w:rFonts w:ascii="Arial" w:hAnsi="Arial"/>
        </w:rPr>
        <w:t>2 mm dla znaków małych i średnich,</w:t>
      </w:r>
    </w:p>
    <w:p w:rsidR="00AF25CD" w:rsidRDefault="00AF25CD" w:rsidP="00AF25CD">
      <w:pPr>
        <w:numPr>
          <w:ilvl w:val="0"/>
          <w:numId w:val="3"/>
        </w:numPr>
        <w:ind w:left="0" w:firstLine="0"/>
        <w:rPr>
          <w:rFonts w:ascii="Arial" w:hAnsi="Arial"/>
        </w:rPr>
      </w:pPr>
      <w:r>
        <w:rPr>
          <w:rFonts w:ascii="Arial" w:hAnsi="Arial"/>
        </w:rPr>
        <w:t>3 mm dla znaków dużych i wielkich.</w:t>
      </w:r>
    </w:p>
    <w:p w:rsidR="00AF25CD" w:rsidRDefault="00AF25CD" w:rsidP="00AF25CD">
      <w:pPr>
        <w:rPr>
          <w:rFonts w:ascii="Arial" w:hAnsi="Arial"/>
        </w:rPr>
      </w:pPr>
      <w:r>
        <w:rPr>
          <w:rFonts w:ascii="Arial" w:hAnsi="Arial"/>
        </w:rPr>
        <w:tab/>
        <w:t>Powstałe zacieki przy nanoszeniu farby na odblaskową część znaku nie powinny być większe w każdym kierunku niż:</w:t>
      </w:r>
    </w:p>
    <w:p w:rsidR="00AF25CD" w:rsidRDefault="00AF25CD" w:rsidP="00AF25CD">
      <w:pPr>
        <w:numPr>
          <w:ilvl w:val="0"/>
          <w:numId w:val="3"/>
        </w:numPr>
        <w:ind w:left="0" w:firstLine="0"/>
        <w:rPr>
          <w:rFonts w:ascii="Arial" w:hAnsi="Arial"/>
        </w:rPr>
      </w:pPr>
      <w:r>
        <w:rPr>
          <w:rFonts w:ascii="Arial" w:hAnsi="Arial"/>
        </w:rPr>
        <w:t>2 mm dla znaków małych i średnich,</w:t>
      </w:r>
    </w:p>
    <w:p w:rsidR="00AF25CD" w:rsidRDefault="00AF25CD" w:rsidP="00AF25CD">
      <w:pPr>
        <w:numPr>
          <w:ilvl w:val="0"/>
          <w:numId w:val="3"/>
        </w:numPr>
        <w:ind w:left="0" w:firstLine="0"/>
        <w:rPr>
          <w:rFonts w:ascii="Arial" w:hAnsi="Arial"/>
        </w:rPr>
      </w:pPr>
      <w:r>
        <w:rPr>
          <w:rFonts w:ascii="Arial" w:hAnsi="Arial"/>
        </w:rPr>
        <w:t>3 mm dla znaków dużych i wielkich.</w:t>
      </w:r>
    </w:p>
    <w:p w:rsidR="00AF25CD" w:rsidRDefault="00AF25CD" w:rsidP="00AF25CD">
      <w:pPr>
        <w:rPr>
          <w:rFonts w:ascii="Arial" w:hAnsi="Arial"/>
        </w:rPr>
      </w:pPr>
      <w:r>
        <w:rPr>
          <w:rFonts w:ascii="Arial" w:hAnsi="Aria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AF25CD" w:rsidRDefault="00AF25CD" w:rsidP="00AF25CD">
      <w:pPr>
        <w:numPr>
          <w:ilvl w:val="12"/>
          <w:numId w:val="0"/>
        </w:numPr>
        <w:rPr>
          <w:rFonts w:ascii="Arial" w:hAnsi="Arial"/>
        </w:rPr>
      </w:pPr>
      <w:r>
        <w:rPr>
          <w:rFonts w:ascii="Arial" w:hAnsi="Arial"/>
        </w:rPr>
        <w:tab/>
        <w:t>W znakach użytkowanych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AF25CD" w:rsidRDefault="00AF25CD" w:rsidP="00AF25CD">
      <w:pPr>
        <w:numPr>
          <w:ilvl w:val="12"/>
          <w:numId w:val="0"/>
        </w:numPr>
        <w:rPr>
          <w:rFonts w:ascii="Arial" w:hAnsi="Arial"/>
        </w:rPr>
      </w:pPr>
      <w:r>
        <w:rPr>
          <w:rFonts w:ascii="Arial" w:hAnsi="Arial"/>
        </w:rPr>
        <w:tab/>
        <w:t>W znakach w okresie gwarancji dopuszcza się również lokalne uszkodzenie folii o powierzchni nie przekraczającej 6 mm</w:t>
      </w:r>
      <w:r>
        <w:rPr>
          <w:rFonts w:ascii="Arial" w:hAnsi="Arial"/>
          <w:vertAlign w:val="superscript"/>
        </w:rPr>
        <w:t>2</w:t>
      </w:r>
      <w:r>
        <w:rPr>
          <w:rFonts w:ascii="Arial" w:hAnsi="Arial"/>
        </w:rPr>
        <w:t xml:space="preserve"> każde - w liczbie nie większej niż pięć na powierzchni znaku małego lub średniego oraz o powierzchni nie przekraczającej 8 mm</w:t>
      </w:r>
      <w:r>
        <w:rPr>
          <w:rFonts w:ascii="Arial" w:hAnsi="Arial"/>
          <w:vertAlign w:val="superscript"/>
        </w:rPr>
        <w:t>2</w:t>
      </w:r>
      <w:r>
        <w:rPr>
          <w:rFonts w:ascii="Arial" w:hAnsi="Arial"/>
        </w:rPr>
        <w:t xml:space="preserve"> każde - w liczbie nie większej niż 8 na każdym z fragmentów powierzchni znaku dużego lub wielkiego (włączając znaki informacyjne) o wymiarach 1200 x 1200 mm.</w:t>
      </w:r>
    </w:p>
    <w:p w:rsidR="00AF25CD" w:rsidRDefault="00AF25CD" w:rsidP="00AF25CD">
      <w:pPr>
        <w:numPr>
          <w:ilvl w:val="12"/>
          <w:numId w:val="0"/>
        </w:numPr>
        <w:rPr>
          <w:rFonts w:ascii="Arial" w:hAnsi="Arial"/>
        </w:rPr>
      </w:pPr>
      <w:r>
        <w:rPr>
          <w:rFonts w:ascii="Arial" w:hAnsi="Arial"/>
        </w:rPr>
        <w:tab/>
        <w:t>Uszkodzenia folii nie mogą zniekształcać treści znaku - w przypadku występowania takiego zniekształcenia znak musi być bezzwłocznie wymieniony.</w:t>
      </w:r>
    </w:p>
    <w:p w:rsidR="00AF25CD" w:rsidRDefault="00AF25CD" w:rsidP="00AF25CD">
      <w:pPr>
        <w:numPr>
          <w:ilvl w:val="12"/>
          <w:numId w:val="0"/>
        </w:numPr>
        <w:rPr>
          <w:rFonts w:ascii="Arial" w:hAnsi="Arial"/>
        </w:rPr>
      </w:pPr>
      <w:r>
        <w:rPr>
          <w:rFonts w:ascii="Arial" w:hAnsi="Arial"/>
        </w:rPr>
        <w:tab/>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AF25CD" w:rsidRDefault="00AF25CD" w:rsidP="00AF25CD">
      <w:pPr>
        <w:numPr>
          <w:ilvl w:val="12"/>
          <w:numId w:val="0"/>
        </w:numPr>
        <w:rPr>
          <w:rFonts w:ascii="Arial" w:hAnsi="Arial"/>
        </w:rPr>
      </w:pPr>
      <w:r>
        <w:rPr>
          <w:rFonts w:ascii="Arial" w:hAnsi="Arial"/>
        </w:rPr>
        <w:tab/>
        <w:t>W znakach użytkowanych dopuszczalne jest występowanie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AF25CD" w:rsidRDefault="00AF25CD" w:rsidP="00AF25CD">
      <w:pPr>
        <w:numPr>
          <w:ilvl w:val="12"/>
          <w:numId w:val="0"/>
        </w:numPr>
        <w:rPr>
          <w:rFonts w:ascii="Arial" w:hAnsi="Arial"/>
        </w:rPr>
      </w:pPr>
      <w:r>
        <w:rPr>
          <w:rFonts w:ascii="Arial" w:hAnsi="Arial"/>
        </w:rPr>
        <w:lastRenderedPageBreak/>
        <w:tab/>
        <w:t>Wymagana jest taka wytrzymałość połączenia folii odblaskowej z tarczą znaku, by po zgięciu tarczy o 90</w:t>
      </w:r>
      <w:r>
        <w:rPr>
          <w:rFonts w:ascii="Arial" w:hAnsi="Arial"/>
          <w:vertAlign w:val="superscript"/>
        </w:rPr>
        <w:t>o</w:t>
      </w:r>
      <w:r>
        <w:rPr>
          <w:rFonts w:ascii="Arial" w:hAnsi="Arial"/>
        </w:rPr>
        <w:t xml:space="preserve"> przy promieniu łuku zgięcia do 10 mm w żadnym miejscu nie uległo ono zniszczeniu.</w:t>
      </w:r>
    </w:p>
    <w:p w:rsidR="00AF25CD" w:rsidRDefault="00AF25CD" w:rsidP="00AF25CD">
      <w:pPr>
        <w:numPr>
          <w:ilvl w:val="12"/>
          <w:numId w:val="0"/>
        </w:numPr>
      </w:pPr>
      <w:r>
        <w:tab/>
        <w:t xml:space="preserve">  </w:t>
      </w: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2.6.3. </w:t>
      </w:r>
      <w:r>
        <w:rPr>
          <w:rFonts w:ascii="Arial" w:hAnsi="Arial"/>
          <w:sz w:val="20"/>
        </w:rPr>
        <w:t>Tolerancje wymiarowe znaków drogowych</w:t>
      </w:r>
    </w:p>
    <w:p w:rsidR="00AF25CD" w:rsidRDefault="00AF25CD" w:rsidP="00AF25CD">
      <w:pPr>
        <w:pStyle w:val="NormalWeb"/>
        <w:numPr>
          <w:ilvl w:val="12"/>
          <w:numId w:val="0"/>
        </w:numPr>
        <w:spacing w:before="0" w:after="0"/>
        <w:jc w:val="both"/>
        <w:rPr>
          <w:rFonts w:ascii="Arial" w:hAnsi="Arial"/>
          <w:b/>
          <w:sz w:val="20"/>
        </w:rPr>
      </w:pP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2.6.3.1. </w:t>
      </w:r>
      <w:r>
        <w:rPr>
          <w:rFonts w:ascii="Arial" w:hAnsi="Arial"/>
          <w:sz w:val="20"/>
        </w:rPr>
        <w:t>Tolerancje wymiarowe dla grubości blach</w:t>
      </w:r>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xml:space="preserve">Sprawdzenie śrubą mikrometryczną: </w:t>
      </w:r>
    </w:p>
    <w:p w:rsidR="00AF25CD" w:rsidRDefault="00AF25CD" w:rsidP="00AF25CD">
      <w:pPr>
        <w:pStyle w:val="NormalWeb"/>
        <w:numPr>
          <w:ilvl w:val="12"/>
          <w:numId w:val="0"/>
        </w:numPr>
        <w:tabs>
          <w:tab w:val="left" w:pos="1080"/>
        </w:tabs>
        <w:spacing w:before="0" w:after="0"/>
        <w:ind w:left="708"/>
        <w:jc w:val="both"/>
        <w:rPr>
          <w:rFonts w:ascii="Arial" w:hAnsi="Arial"/>
          <w:sz w:val="20"/>
        </w:rPr>
      </w:pPr>
      <w:r>
        <w:rPr>
          <w:rFonts w:ascii="Arial" w:hAnsi="Arial"/>
          <w:sz w:val="20"/>
        </w:rPr>
        <w:t xml:space="preserve"> -     dla blachy stalowej ocynkowanej ogniowo o gr. 1,25 - 1,5 nim wynosi  0,14 mm, </w:t>
      </w: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2.6.3.2. </w:t>
      </w:r>
      <w:r>
        <w:rPr>
          <w:rFonts w:ascii="Arial" w:hAnsi="Arial"/>
          <w:sz w:val="20"/>
        </w:rPr>
        <w:t>Tolerancje wymiarowe dla grubości powłok malarskich</w:t>
      </w:r>
    </w:p>
    <w:p w:rsidR="00AF25CD" w:rsidRDefault="00AF25CD" w:rsidP="00AF25CD">
      <w:pPr>
        <w:pStyle w:val="NormalWeb"/>
        <w:numPr>
          <w:ilvl w:val="12"/>
          <w:numId w:val="0"/>
        </w:numPr>
        <w:spacing w:before="0" w:after="0"/>
        <w:ind w:left="708"/>
        <w:jc w:val="both"/>
        <w:rPr>
          <w:rFonts w:ascii="Arial" w:hAnsi="Arial"/>
          <w:sz w:val="20"/>
        </w:rPr>
      </w:pPr>
      <w:r>
        <w:rPr>
          <w:rFonts w:ascii="Arial" w:hAnsi="Arial"/>
          <w:sz w:val="20"/>
        </w:rPr>
        <w:t xml:space="preserve">Dla powłoki lakierniczej na tylnej powierzchni tarczy znaku o grubości 60 </w:t>
      </w:r>
      <w:proofErr w:type="spellStart"/>
      <w:r>
        <w:rPr>
          <w:rFonts w:ascii="Arial" w:hAnsi="Arial"/>
          <w:sz w:val="20"/>
        </w:rPr>
        <w:t>μm</w:t>
      </w:r>
      <w:proofErr w:type="spellEnd"/>
      <w:r>
        <w:rPr>
          <w:rFonts w:ascii="Arial" w:hAnsi="Arial"/>
          <w:sz w:val="20"/>
        </w:rPr>
        <w:t xml:space="preserve"> wynosi ±15 nm. Sprawdzenie wg PN-EN ISO 2808:2000 [22].</w:t>
      </w: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2.6.3.3. </w:t>
      </w:r>
      <w:r>
        <w:rPr>
          <w:rFonts w:ascii="Arial" w:hAnsi="Arial"/>
          <w:sz w:val="20"/>
        </w:rPr>
        <w:t>Tolerancje wymiarowe dla płaskości powierzchni</w:t>
      </w:r>
    </w:p>
    <w:p w:rsidR="00AF25CD" w:rsidRDefault="00AF25CD" w:rsidP="00AF25CD">
      <w:pPr>
        <w:pStyle w:val="NormalWeb"/>
        <w:numPr>
          <w:ilvl w:val="12"/>
          <w:numId w:val="0"/>
        </w:numPr>
        <w:spacing w:before="0" w:after="0"/>
        <w:ind w:left="708"/>
        <w:jc w:val="both"/>
        <w:rPr>
          <w:rFonts w:ascii="Arial" w:hAnsi="Arial"/>
          <w:sz w:val="20"/>
        </w:rPr>
      </w:pPr>
      <w:r>
        <w:rPr>
          <w:rFonts w:ascii="Arial" w:hAnsi="Arial"/>
          <w:sz w:val="20"/>
        </w:rPr>
        <w:t xml:space="preserve">Odchylenia od poziomu nie mogą wynieść więcej niż 0,2 %„ wyjątkowo do 0,5 </w:t>
      </w:r>
      <w:r>
        <w:rPr>
          <w:rFonts w:ascii="Arial" w:hAnsi="Arial"/>
          <w:b/>
          <w:i/>
          <w:sz w:val="20"/>
        </w:rPr>
        <w:t xml:space="preserve">%. </w:t>
      </w:r>
      <w:r>
        <w:rPr>
          <w:rFonts w:ascii="Arial" w:hAnsi="Arial"/>
          <w:sz w:val="20"/>
        </w:rPr>
        <w:t xml:space="preserve">Sprawdzenie szczelinomierzem. </w:t>
      </w: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2.6.3.4. </w:t>
      </w:r>
      <w:r>
        <w:rPr>
          <w:rFonts w:ascii="Arial" w:hAnsi="Arial"/>
          <w:sz w:val="20"/>
        </w:rPr>
        <w:t>Tolerancje wymiarowe dla tarcz znaków</w:t>
      </w:r>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xml:space="preserve">Sprawdzenie przymiarem liniowym: </w:t>
      </w:r>
    </w:p>
    <w:p w:rsidR="00AF25CD" w:rsidRDefault="00AF25CD" w:rsidP="00AF25CD">
      <w:pPr>
        <w:pStyle w:val="NormalWeb"/>
        <w:numPr>
          <w:ilvl w:val="12"/>
          <w:numId w:val="0"/>
        </w:numPr>
        <w:tabs>
          <w:tab w:val="left" w:pos="1080"/>
        </w:tabs>
        <w:spacing w:before="0" w:after="0"/>
        <w:ind w:left="720"/>
        <w:jc w:val="both"/>
        <w:rPr>
          <w:rFonts w:ascii="Arial" w:hAnsi="Arial"/>
          <w:sz w:val="20"/>
        </w:rPr>
      </w:pPr>
      <w:r>
        <w:rPr>
          <w:rFonts w:ascii="Arial" w:hAnsi="Arial"/>
          <w:sz w:val="20"/>
        </w:rPr>
        <w:t>-         wymiary dla tarcz znaków o powierzchni &lt; 1m</w:t>
      </w:r>
      <w:r>
        <w:rPr>
          <w:rFonts w:ascii="Arial" w:hAnsi="Arial"/>
          <w:sz w:val="20"/>
          <w:vertAlign w:val="superscript"/>
        </w:rPr>
        <w:t>2</w:t>
      </w:r>
      <w:r>
        <w:rPr>
          <w:rFonts w:ascii="Arial" w:hAnsi="Arial"/>
          <w:sz w:val="20"/>
        </w:rPr>
        <w:t xml:space="preserve"> podane w opisach szczegółowych załącznika nr 1 [25] należy powiększyć o 10 mm i wykonać w tolerancji wymiarowej ± 5 mm,</w:t>
      </w:r>
    </w:p>
    <w:p w:rsidR="00AF25CD" w:rsidRDefault="00AF25CD" w:rsidP="00AF25CD">
      <w:pPr>
        <w:pStyle w:val="NormalWeb"/>
        <w:numPr>
          <w:ilvl w:val="12"/>
          <w:numId w:val="0"/>
        </w:numPr>
        <w:tabs>
          <w:tab w:val="left" w:pos="1080"/>
        </w:tabs>
        <w:spacing w:before="0" w:after="0"/>
        <w:ind w:left="720"/>
        <w:jc w:val="both"/>
        <w:rPr>
          <w:rFonts w:ascii="Arial" w:hAnsi="Arial"/>
          <w:sz w:val="20"/>
        </w:rPr>
      </w:pPr>
      <w:r>
        <w:rPr>
          <w:rFonts w:ascii="Arial" w:hAnsi="Arial"/>
          <w:sz w:val="20"/>
        </w:rPr>
        <w:t>-         wymiary dla tarcz znaków i tablic o powierzchni &gt; 1m</w:t>
      </w:r>
      <w:r>
        <w:rPr>
          <w:rFonts w:ascii="Arial" w:hAnsi="Arial"/>
          <w:sz w:val="20"/>
          <w:vertAlign w:val="superscript"/>
        </w:rPr>
        <w:t>2</w:t>
      </w:r>
      <w:r>
        <w:rPr>
          <w:rFonts w:ascii="Arial" w:hAnsi="Arial"/>
          <w:sz w:val="20"/>
        </w:rPr>
        <w:t xml:space="preserve"> podane w opisach szczegółowych załącznika nr 1 [25] oraz wymiary wynikowe dla tablic grupy E należy powiększyć o 15 mm i wykonać w tolerancji wymiarowej ± 10 mm. </w:t>
      </w: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2.6.3.5.</w:t>
      </w:r>
      <w:r>
        <w:rPr>
          <w:rFonts w:ascii="Arial" w:hAnsi="Arial"/>
          <w:sz w:val="20"/>
        </w:rPr>
        <w:t>Tolerancje wymiarowe dla lica znaku</w:t>
      </w:r>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xml:space="preserve">Sprawdzone przymiarem liniowym: </w:t>
      </w:r>
    </w:p>
    <w:p w:rsidR="00AF25CD" w:rsidRDefault="00AF25CD" w:rsidP="00AF25CD">
      <w:pPr>
        <w:pStyle w:val="NormalWeb"/>
        <w:numPr>
          <w:ilvl w:val="12"/>
          <w:numId w:val="0"/>
        </w:numPr>
        <w:tabs>
          <w:tab w:val="left" w:pos="1080"/>
        </w:tabs>
        <w:spacing w:before="0" w:after="0"/>
        <w:ind w:left="720"/>
        <w:jc w:val="both"/>
        <w:rPr>
          <w:rFonts w:ascii="Arial" w:hAnsi="Arial"/>
          <w:i/>
          <w:sz w:val="20"/>
        </w:rPr>
      </w:pPr>
      <w:r>
        <w:rPr>
          <w:rFonts w:ascii="Arial" w:hAnsi="Arial"/>
          <w:sz w:val="20"/>
        </w:rPr>
        <w:t xml:space="preserve">-         tolerancje wymiarowe rysunku lica wykonanego drukiem sitowym wynoszą </w:t>
      </w:r>
      <w:r>
        <w:rPr>
          <w:rFonts w:ascii="Arial" w:hAnsi="Arial"/>
          <w:i/>
          <w:sz w:val="20"/>
        </w:rPr>
        <w:t xml:space="preserve">± </w:t>
      </w:r>
      <w:r>
        <w:rPr>
          <w:rFonts w:ascii="Arial" w:hAnsi="Arial"/>
          <w:sz w:val="20"/>
        </w:rPr>
        <w:t>1,5 mm,</w:t>
      </w:r>
    </w:p>
    <w:p w:rsidR="00AF25CD" w:rsidRDefault="00AF25CD" w:rsidP="00AF25CD">
      <w:pPr>
        <w:pStyle w:val="NormalWeb"/>
        <w:numPr>
          <w:ilvl w:val="12"/>
          <w:numId w:val="0"/>
        </w:numPr>
        <w:tabs>
          <w:tab w:val="left" w:pos="1080"/>
        </w:tabs>
        <w:spacing w:before="0" w:after="0"/>
        <w:ind w:left="720"/>
        <w:jc w:val="both"/>
        <w:rPr>
          <w:rFonts w:ascii="Arial" w:hAnsi="Arial"/>
          <w:i/>
          <w:sz w:val="20"/>
        </w:rPr>
      </w:pPr>
      <w:r>
        <w:rPr>
          <w:rFonts w:ascii="Arial" w:hAnsi="Arial"/>
          <w:sz w:val="20"/>
        </w:rPr>
        <w:t xml:space="preserve">-         tolerancje wymiarowe rysunku lica wykonanego metodą wyklejania wynoszą ± 2 mm, </w:t>
      </w:r>
    </w:p>
    <w:p w:rsidR="00AF25CD" w:rsidRDefault="00AF25CD" w:rsidP="00AF25CD">
      <w:pPr>
        <w:pStyle w:val="NormalWeb"/>
        <w:numPr>
          <w:ilvl w:val="12"/>
          <w:numId w:val="0"/>
        </w:numPr>
        <w:tabs>
          <w:tab w:val="left" w:pos="1080"/>
          <w:tab w:val="left" w:pos="1380"/>
        </w:tabs>
        <w:spacing w:before="0" w:after="0"/>
        <w:ind w:left="720"/>
        <w:jc w:val="both"/>
        <w:rPr>
          <w:rFonts w:ascii="Arial" w:hAnsi="Arial"/>
          <w:sz w:val="20"/>
        </w:rPr>
      </w:pPr>
      <w:r>
        <w:rPr>
          <w:rFonts w:ascii="Arial" w:hAnsi="Arial"/>
          <w:sz w:val="20"/>
        </w:rPr>
        <w:t>-</w:t>
      </w:r>
      <w:r>
        <w:rPr>
          <w:rFonts w:ascii="Arial" w:hAnsi="Arial"/>
          <w:sz w:val="20"/>
        </w:rPr>
        <w:tab/>
      </w:r>
      <w:r>
        <w:rPr>
          <w:rFonts w:ascii="Arial" w:hAnsi="Arial"/>
          <w:sz w:val="20"/>
        </w:rPr>
        <w:tab/>
        <w:t xml:space="preserve">kontury rysunku znaku (obwódka i symbol) muszą być równe z dokładnością w każdym kierunku do 1,0 mm. </w:t>
      </w:r>
    </w:p>
    <w:p w:rsidR="00AF25CD" w:rsidRDefault="00AF25CD" w:rsidP="00AF25CD">
      <w:pPr>
        <w:pStyle w:val="NormalWeb"/>
        <w:numPr>
          <w:ilvl w:val="12"/>
          <w:numId w:val="0"/>
        </w:numPr>
        <w:tabs>
          <w:tab w:val="left" w:pos="1080"/>
        </w:tabs>
        <w:spacing w:before="0" w:after="0"/>
        <w:ind w:left="720"/>
        <w:jc w:val="both"/>
        <w:rPr>
          <w:rFonts w:ascii="Arial" w:hAnsi="Arial"/>
          <w:i/>
          <w:sz w:val="20"/>
        </w:rPr>
      </w:pPr>
    </w:p>
    <w:p w:rsidR="00AF25CD" w:rsidRDefault="00AF25CD" w:rsidP="00AF25CD">
      <w:pPr>
        <w:pStyle w:val="NormalWeb"/>
        <w:numPr>
          <w:ilvl w:val="12"/>
          <w:numId w:val="0"/>
        </w:numPr>
        <w:spacing w:before="0" w:after="0"/>
        <w:jc w:val="both"/>
        <w:rPr>
          <w:rFonts w:ascii="Arial" w:hAnsi="Arial"/>
          <w:sz w:val="20"/>
        </w:rPr>
      </w:pPr>
      <w:r>
        <w:rPr>
          <w:rFonts w:ascii="Arial" w:hAnsi="Arial"/>
          <w:b/>
          <w:sz w:val="20"/>
        </w:rPr>
        <w:t xml:space="preserve">2.6.4. </w:t>
      </w:r>
      <w:r>
        <w:rPr>
          <w:rFonts w:ascii="Arial" w:hAnsi="Arial"/>
          <w:sz w:val="20"/>
        </w:rPr>
        <w:t>Obowiązujący system oceny zgodności</w:t>
      </w:r>
    </w:p>
    <w:p w:rsidR="00AF25CD" w:rsidRDefault="00AF25CD" w:rsidP="00AF25CD">
      <w:pPr>
        <w:pStyle w:val="NormalWeb"/>
        <w:numPr>
          <w:ilvl w:val="12"/>
          <w:numId w:val="0"/>
        </w:numPr>
        <w:spacing w:before="0" w:after="0"/>
        <w:jc w:val="both"/>
        <w:rPr>
          <w:rFonts w:ascii="Arial" w:hAnsi="Arial"/>
          <w:sz w:val="20"/>
        </w:rPr>
      </w:pPr>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xml:space="preserve">Zgodnie z art. 4, art. 5 ust. 1 oraz art. 8, ust 1 ustawy z dnia 16 kwietnia 2004 r. o wyrobach budowlanych [31]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 </w:t>
      </w:r>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xml:space="preserve">Zgodnie z rozporządzeniem Ministra Infrastruktury z dnia 11 sierpnia 2004 r.[26] oceny zgodności wyrobu z aprobatą techniczną dokonuje producent, stosując system 1. </w:t>
      </w:r>
    </w:p>
    <w:p w:rsidR="00AF25CD" w:rsidRDefault="00AF25CD" w:rsidP="00AF25CD">
      <w:pPr>
        <w:pStyle w:val="Nagwek2"/>
        <w:numPr>
          <w:ilvl w:val="12"/>
          <w:numId w:val="0"/>
        </w:numPr>
        <w:rPr>
          <w:rFonts w:ascii="Arial" w:hAnsi="Arial"/>
        </w:rPr>
      </w:pPr>
      <w:r>
        <w:rPr>
          <w:rFonts w:ascii="Arial" w:hAnsi="Arial"/>
        </w:rPr>
        <w:t>2.7. Materiały do montażu znaków</w:t>
      </w:r>
    </w:p>
    <w:p w:rsidR="00AF25CD" w:rsidRDefault="00AF25CD" w:rsidP="00AF25CD">
      <w:pPr>
        <w:numPr>
          <w:ilvl w:val="12"/>
          <w:numId w:val="0"/>
        </w:numPr>
        <w:rPr>
          <w:rFonts w:ascii="Arial" w:hAnsi="Arial"/>
        </w:rPr>
      </w:pPr>
      <w:r>
        <w:rPr>
          <w:rFonts w:ascii="Arial" w:hAnsi="Arial"/>
        </w:rPr>
        <w:tab/>
        <w:t>Wszystkie ocynkowane łączniki metalowe przewidywane do mocowania między sobą elementów konstrukcji wsporczych znaków jak śruby, listwy, wkręty, nakrętki itp. powinny być czyste, gładkie, bez pęknięć, naderwań, rozwarstwień i wypukłych karbów.</w:t>
      </w:r>
    </w:p>
    <w:p w:rsidR="00AF25CD" w:rsidRDefault="00AF25CD" w:rsidP="00AF25CD">
      <w:pPr>
        <w:numPr>
          <w:ilvl w:val="12"/>
          <w:numId w:val="0"/>
        </w:numPr>
        <w:rPr>
          <w:rFonts w:ascii="Arial" w:hAnsi="Arial"/>
        </w:rPr>
      </w:pPr>
      <w:r>
        <w:rPr>
          <w:rFonts w:ascii="Arial" w:hAnsi="Arial"/>
        </w:rPr>
        <w:tab/>
        <w:t>Łączniki mogą być dostarczane w pudełkach tekturowych, pojemnikach blaszanych lub paletach, w zależności od ich wielkości.</w:t>
      </w:r>
    </w:p>
    <w:p w:rsidR="00AF25CD" w:rsidRDefault="00AF25CD" w:rsidP="00AF25CD">
      <w:pPr>
        <w:pStyle w:val="Nagwek2"/>
        <w:numPr>
          <w:ilvl w:val="12"/>
          <w:numId w:val="0"/>
        </w:numPr>
        <w:rPr>
          <w:rFonts w:ascii="Arial" w:hAnsi="Arial"/>
        </w:rPr>
      </w:pPr>
      <w:r>
        <w:rPr>
          <w:rFonts w:ascii="Arial" w:hAnsi="Arial"/>
        </w:rPr>
        <w:t>2.8. Przechowywanie i składowanie materiałów</w:t>
      </w:r>
    </w:p>
    <w:p w:rsidR="00AF25CD" w:rsidRDefault="00AF25CD" w:rsidP="00AF25CD">
      <w:pPr>
        <w:numPr>
          <w:ilvl w:val="12"/>
          <w:numId w:val="0"/>
        </w:numPr>
        <w:rPr>
          <w:rFonts w:ascii="Arial" w:hAnsi="Arial"/>
        </w:rPr>
      </w:pPr>
      <w:r>
        <w:rPr>
          <w:rFonts w:ascii="Arial" w:hAnsi="Arial"/>
        </w:rPr>
        <w:tab/>
      </w:r>
    </w:p>
    <w:p w:rsidR="00AF25CD" w:rsidRDefault="00AF25CD" w:rsidP="00AF25CD">
      <w:pPr>
        <w:numPr>
          <w:ilvl w:val="12"/>
          <w:numId w:val="0"/>
        </w:numPr>
        <w:rPr>
          <w:rFonts w:ascii="Arial" w:hAnsi="Arial"/>
        </w:rPr>
      </w:pPr>
      <w:r>
        <w:rPr>
          <w:rFonts w:ascii="Arial" w:hAnsi="Arial"/>
        </w:rPr>
        <w:tab/>
        <w:t>Znaki powinny być przechowywane w pomieszczeniach suchych, z dala od materiałów działających korodująco i w warunkach zabezpieczających przed uszkodzeniami.</w:t>
      </w:r>
    </w:p>
    <w:p w:rsidR="00AF25CD" w:rsidRDefault="00AF25CD" w:rsidP="00AF25CD">
      <w:pPr>
        <w:pStyle w:val="Nagwek1"/>
        <w:numPr>
          <w:ilvl w:val="12"/>
          <w:numId w:val="0"/>
        </w:numPr>
        <w:rPr>
          <w:rFonts w:ascii="Arial" w:hAnsi="Arial"/>
        </w:rPr>
      </w:pPr>
      <w:bookmarkStart w:id="11" w:name="_Toc425833582"/>
      <w:r>
        <w:rPr>
          <w:rFonts w:ascii="Arial" w:hAnsi="Arial"/>
        </w:rPr>
        <w:t>3. sprzęt</w:t>
      </w:r>
      <w:bookmarkEnd w:id="11"/>
    </w:p>
    <w:p w:rsidR="00AF25CD" w:rsidRDefault="00AF25CD" w:rsidP="00AF25CD">
      <w:pPr>
        <w:pStyle w:val="Nagwek2"/>
        <w:numPr>
          <w:ilvl w:val="12"/>
          <w:numId w:val="0"/>
        </w:numPr>
        <w:rPr>
          <w:rFonts w:ascii="Arial" w:hAnsi="Arial"/>
        </w:rPr>
      </w:pPr>
      <w:r>
        <w:rPr>
          <w:rFonts w:ascii="Arial" w:hAnsi="Arial"/>
        </w:rPr>
        <w:t>3.1. Ogólne wymagania dotyczące sprzętu</w:t>
      </w:r>
    </w:p>
    <w:p w:rsidR="00AF25CD" w:rsidRDefault="00AF25CD" w:rsidP="00AF25CD">
      <w:pPr>
        <w:numPr>
          <w:ilvl w:val="12"/>
          <w:numId w:val="0"/>
        </w:numPr>
        <w:rPr>
          <w:rFonts w:ascii="Arial" w:hAnsi="Arial"/>
        </w:rPr>
      </w:pPr>
      <w:r>
        <w:rPr>
          <w:rFonts w:ascii="Arial" w:hAnsi="Arial"/>
        </w:rPr>
        <w:tab/>
        <w:t>Ogólne wymagania dotyczące sprzętu podano w OST D-M-00.00.00 „Wymagania ogólne” pkt 3.</w:t>
      </w:r>
    </w:p>
    <w:p w:rsidR="00AF25CD" w:rsidRDefault="00AF25CD" w:rsidP="00AF25CD">
      <w:pPr>
        <w:pStyle w:val="Nagwek2"/>
        <w:numPr>
          <w:ilvl w:val="12"/>
          <w:numId w:val="0"/>
        </w:numPr>
        <w:rPr>
          <w:rFonts w:ascii="Arial" w:hAnsi="Arial"/>
        </w:rPr>
      </w:pPr>
      <w:r>
        <w:rPr>
          <w:rFonts w:ascii="Arial" w:hAnsi="Arial"/>
        </w:rPr>
        <w:t>3.2. Sprzęt do wykonania oznakowania pionowego</w:t>
      </w:r>
    </w:p>
    <w:p w:rsidR="00AF25CD" w:rsidRDefault="00AF25CD" w:rsidP="00AF25CD">
      <w:pPr>
        <w:numPr>
          <w:ilvl w:val="12"/>
          <w:numId w:val="0"/>
        </w:numPr>
        <w:rPr>
          <w:rFonts w:ascii="Arial" w:hAnsi="Arial"/>
        </w:rPr>
      </w:pPr>
      <w:r>
        <w:rPr>
          <w:rFonts w:ascii="Arial" w:hAnsi="Arial"/>
        </w:rPr>
        <w:tab/>
        <w:t>Wykonawca przystępujący do wykonania oznakowania pionowego powinien wykazać się możliwością korzystania z następującego sprzętu:</w:t>
      </w:r>
    </w:p>
    <w:p w:rsidR="00AF25CD" w:rsidRDefault="00AF25CD" w:rsidP="00AF25CD">
      <w:pPr>
        <w:numPr>
          <w:ilvl w:val="0"/>
          <w:numId w:val="3"/>
        </w:numPr>
        <w:rPr>
          <w:rFonts w:ascii="Arial" w:hAnsi="Arial"/>
        </w:rPr>
      </w:pPr>
      <w:r>
        <w:rPr>
          <w:rFonts w:ascii="Arial" w:hAnsi="Arial"/>
        </w:rPr>
        <w:t xml:space="preserve">wiertnic </w:t>
      </w:r>
    </w:p>
    <w:p w:rsidR="00AF25CD" w:rsidRDefault="00AF25CD" w:rsidP="00AF25CD">
      <w:pPr>
        <w:numPr>
          <w:ilvl w:val="0"/>
          <w:numId w:val="3"/>
        </w:numPr>
        <w:rPr>
          <w:rFonts w:ascii="Arial" w:hAnsi="Arial"/>
        </w:rPr>
      </w:pPr>
      <w:r>
        <w:rPr>
          <w:rFonts w:ascii="Arial" w:hAnsi="Arial"/>
        </w:rPr>
        <w:t>młota spalinowego lub elektrycznego do wykopów pod słupki w gruntach spoistych i wbijania tulei  fundamentowych,</w:t>
      </w:r>
    </w:p>
    <w:p w:rsidR="00AF25CD" w:rsidRDefault="00AF25CD" w:rsidP="00AF25CD">
      <w:pPr>
        <w:numPr>
          <w:ilvl w:val="0"/>
          <w:numId w:val="3"/>
        </w:numPr>
        <w:rPr>
          <w:rFonts w:ascii="Arial" w:hAnsi="Arial"/>
        </w:rPr>
      </w:pPr>
      <w:r>
        <w:rPr>
          <w:rFonts w:ascii="Arial" w:hAnsi="Arial"/>
        </w:rPr>
        <w:lastRenderedPageBreak/>
        <w:t>betoniarek przewoźnych do wykonywania fundamentów betonowych „na mokro”,</w:t>
      </w:r>
    </w:p>
    <w:p w:rsidR="00AF25CD" w:rsidRDefault="00AF25CD" w:rsidP="00AF25CD">
      <w:pPr>
        <w:numPr>
          <w:ilvl w:val="0"/>
          <w:numId w:val="3"/>
        </w:numPr>
        <w:rPr>
          <w:rFonts w:ascii="Arial" w:hAnsi="Arial"/>
        </w:rPr>
      </w:pPr>
      <w:r>
        <w:rPr>
          <w:rFonts w:ascii="Arial" w:hAnsi="Arial"/>
        </w:rPr>
        <w:t>środków transportowych do przewozu materiałów wyposażonych w tablice ostrzegawcze U-26 i lampy błyskowe,</w:t>
      </w:r>
    </w:p>
    <w:p w:rsidR="00AF25CD" w:rsidRDefault="00AF25CD" w:rsidP="00AF25CD">
      <w:pPr>
        <w:numPr>
          <w:ilvl w:val="0"/>
          <w:numId w:val="3"/>
        </w:numPr>
        <w:rPr>
          <w:rFonts w:ascii="Arial" w:hAnsi="Arial"/>
        </w:rPr>
      </w:pPr>
      <w:r>
        <w:rPr>
          <w:rFonts w:ascii="Arial" w:hAnsi="Arial"/>
        </w:rPr>
        <w:t>przewoźnych zbiorników na wodę,</w:t>
      </w:r>
    </w:p>
    <w:p w:rsidR="00AF25CD" w:rsidRDefault="00AF25CD" w:rsidP="00AF25CD">
      <w:pPr>
        <w:numPr>
          <w:ilvl w:val="0"/>
          <w:numId w:val="3"/>
        </w:numPr>
        <w:rPr>
          <w:rFonts w:ascii="Arial" w:hAnsi="Arial"/>
        </w:rPr>
      </w:pPr>
      <w:r>
        <w:rPr>
          <w:rFonts w:ascii="Arial" w:hAnsi="Arial"/>
        </w:rPr>
        <w:t>sprzętu spawalniczego, itp.</w:t>
      </w:r>
    </w:p>
    <w:p w:rsidR="00AF25CD" w:rsidRDefault="00AF25CD" w:rsidP="00AF25CD">
      <w:pPr>
        <w:pStyle w:val="Nagwek1"/>
        <w:rPr>
          <w:rFonts w:ascii="Arial" w:hAnsi="Arial"/>
        </w:rPr>
      </w:pPr>
      <w:bookmarkStart w:id="12" w:name="_Toc425833583"/>
      <w:r>
        <w:rPr>
          <w:rFonts w:ascii="Arial" w:hAnsi="Arial"/>
        </w:rPr>
        <w:t>4. transport</w:t>
      </w:r>
      <w:bookmarkEnd w:id="12"/>
    </w:p>
    <w:p w:rsidR="00AF25CD" w:rsidRDefault="00AF25CD" w:rsidP="00AF25CD">
      <w:pPr>
        <w:pStyle w:val="Nagwek2"/>
        <w:numPr>
          <w:ilvl w:val="12"/>
          <w:numId w:val="0"/>
        </w:numPr>
        <w:rPr>
          <w:rFonts w:ascii="Arial" w:hAnsi="Arial"/>
        </w:rPr>
      </w:pPr>
      <w:r>
        <w:rPr>
          <w:rFonts w:ascii="Arial" w:hAnsi="Arial"/>
        </w:rPr>
        <w:t>4.1. Ogólne wymagania dotyczące transportu</w:t>
      </w:r>
    </w:p>
    <w:p w:rsidR="00AF25CD" w:rsidRDefault="00AF25CD" w:rsidP="00AF25CD">
      <w:pPr>
        <w:numPr>
          <w:ilvl w:val="12"/>
          <w:numId w:val="0"/>
        </w:numPr>
        <w:rPr>
          <w:rFonts w:ascii="Arial" w:hAnsi="Arial"/>
        </w:rPr>
      </w:pPr>
      <w:r>
        <w:rPr>
          <w:rFonts w:ascii="Arial" w:hAnsi="Arial"/>
        </w:rPr>
        <w:tab/>
        <w:t>Ogólne wymagania dotyczące transportu podano w OST D-M-00.00.00 „Wymagania ogólne” pkt 4.</w:t>
      </w:r>
    </w:p>
    <w:p w:rsidR="00AF25CD" w:rsidRDefault="00AF25CD" w:rsidP="00AF25CD">
      <w:pPr>
        <w:pStyle w:val="Nagwek2"/>
        <w:numPr>
          <w:ilvl w:val="12"/>
          <w:numId w:val="0"/>
        </w:numPr>
        <w:rPr>
          <w:rFonts w:ascii="Arial" w:hAnsi="Arial"/>
        </w:rPr>
      </w:pPr>
      <w:r>
        <w:rPr>
          <w:rFonts w:ascii="Arial" w:hAnsi="Arial"/>
        </w:rPr>
        <w:t>4.2. Transport materiałów do pionowego oznakowania dróg</w:t>
      </w:r>
    </w:p>
    <w:p w:rsidR="00AF25CD" w:rsidRDefault="00AF25CD" w:rsidP="00AF25CD">
      <w:pPr>
        <w:numPr>
          <w:ilvl w:val="12"/>
          <w:numId w:val="0"/>
        </w:numPr>
        <w:rPr>
          <w:rFonts w:ascii="Arial" w:hAnsi="Arial"/>
        </w:rPr>
      </w:pPr>
      <w:r>
        <w:rPr>
          <w:rFonts w:ascii="Arial" w:hAnsi="Arial"/>
        </w:rPr>
        <w:tab/>
        <w:t>Transport znaków, konstrukcji wsporczych i materiałów pomocniczych (uchwyty, śruby, nakrętki itp.) powinien  odbywać się środkami transportowymi w sposób uniemożliwiający ich przemieszczanie i uszkadzanie.</w:t>
      </w:r>
    </w:p>
    <w:p w:rsidR="00AF25CD" w:rsidRDefault="00AF25CD" w:rsidP="00AF25CD">
      <w:pPr>
        <w:pStyle w:val="Nagwek1"/>
        <w:numPr>
          <w:ilvl w:val="12"/>
          <w:numId w:val="0"/>
        </w:numPr>
        <w:rPr>
          <w:rFonts w:ascii="Arial" w:hAnsi="Arial"/>
        </w:rPr>
      </w:pPr>
      <w:bookmarkStart w:id="13" w:name="_Toc425833584"/>
      <w:r>
        <w:rPr>
          <w:rFonts w:ascii="Arial" w:hAnsi="Arial"/>
        </w:rPr>
        <w:t>5. wykonanie robót</w:t>
      </w:r>
      <w:bookmarkEnd w:id="13"/>
    </w:p>
    <w:p w:rsidR="00AF25CD" w:rsidRDefault="00AF25CD" w:rsidP="00AF25CD">
      <w:pPr>
        <w:pStyle w:val="Nagwek2"/>
        <w:numPr>
          <w:ilvl w:val="12"/>
          <w:numId w:val="0"/>
        </w:numPr>
        <w:rPr>
          <w:rFonts w:ascii="Arial" w:hAnsi="Arial"/>
        </w:rPr>
      </w:pPr>
      <w:r>
        <w:rPr>
          <w:rFonts w:ascii="Arial" w:hAnsi="Arial"/>
        </w:rPr>
        <w:t>5.1. Ogólne zasady wykonywania robót</w:t>
      </w:r>
    </w:p>
    <w:p w:rsidR="00AF25CD" w:rsidRDefault="00AF25CD" w:rsidP="00AF25CD">
      <w:pPr>
        <w:numPr>
          <w:ilvl w:val="12"/>
          <w:numId w:val="0"/>
        </w:numPr>
        <w:rPr>
          <w:rFonts w:ascii="Arial" w:hAnsi="Arial"/>
        </w:rPr>
      </w:pPr>
      <w:r>
        <w:rPr>
          <w:rFonts w:ascii="Arial" w:hAnsi="Arial"/>
        </w:rPr>
        <w:tab/>
        <w:t>Ogólne zasady wykonywania robót podano w OST D-M-00.00.00 „Wymagania ogólne” pkt 5.</w:t>
      </w:r>
    </w:p>
    <w:p w:rsidR="00AF25CD" w:rsidRDefault="00AF25CD" w:rsidP="00AF25CD">
      <w:pPr>
        <w:pStyle w:val="Nagwek2"/>
        <w:numPr>
          <w:ilvl w:val="12"/>
          <w:numId w:val="0"/>
        </w:numPr>
        <w:rPr>
          <w:rFonts w:ascii="Arial" w:hAnsi="Arial"/>
        </w:rPr>
      </w:pPr>
      <w:r>
        <w:rPr>
          <w:rFonts w:ascii="Arial" w:hAnsi="Arial"/>
        </w:rPr>
        <w:t>5.2. Roboty przygotowawcze</w:t>
      </w:r>
    </w:p>
    <w:p w:rsidR="00AF25CD" w:rsidRDefault="00AF25CD" w:rsidP="00AF25CD">
      <w:pPr>
        <w:numPr>
          <w:ilvl w:val="12"/>
          <w:numId w:val="0"/>
        </w:numPr>
        <w:rPr>
          <w:rFonts w:ascii="Arial" w:hAnsi="Arial"/>
        </w:rPr>
      </w:pPr>
      <w:r>
        <w:rPr>
          <w:rFonts w:ascii="Arial" w:hAnsi="Arial"/>
        </w:rPr>
        <w:tab/>
        <w:t xml:space="preserve">Przed przystąpieniem do robót należy: </w:t>
      </w:r>
    </w:p>
    <w:p w:rsidR="00AF25CD" w:rsidRDefault="00AF25CD" w:rsidP="00AF25CD">
      <w:pPr>
        <w:numPr>
          <w:ilvl w:val="12"/>
          <w:numId w:val="0"/>
        </w:numPr>
        <w:rPr>
          <w:rFonts w:ascii="Arial" w:hAnsi="Arial"/>
        </w:rPr>
      </w:pPr>
      <w:r>
        <w:rPr>
          <w:rFonts w:ascii="Arial" w:hAnsi="Arial"/>
        </w:rPr>
        <w:t>-    zabezpieczyć i oznakować miejsce robót</w:t>
      </w:r>
    </w:p>
    <w:p w:rsidR="00AF25CD" w:rsidRDefault="00AF25CD" w:rsidP="00AF25CD">
      <w:pPr>
        <w:numPr>
          <w:ilvl w:val="0"/>
          <w:numId w:val="3"/>
        </w:numPr>
        <w:rPr>
          <w:rFonts w:ascii="Arial" w:hAnsi="Arial"/>
        </w:rPr>
      </w:pPr>
      <w:r>
        <w:rPr>
          <w:rFonts w:ascii="Arial" w:hAnsi="Arial"/>
        </w:rPr>
        <w:t xml:space="preserve">wyznaczyć lokalizację znaku, tj. jego </w:t>
      </w:r>
      <w:proofErr w:type="spellStart"/>
      <w:r>
        <w:rPr>
          <w:rFonts w:ascii="Arial" w:hAnsi="Arial"/>
        </w:rPr>
        <w:t>pikietaż</w:t>
      </w:r>
      <w:proofErr w:type="spellEnd"/>
      <w:r>
        <w:rPr>
          <w:rFonts w:ascii="Arial" w:hAnsi="Arial"/>
        </w:rPr>
        <w:t xml:space="preserve"> oraz odległość od krawędzi jezdni, krawędzi pobocza umocnionego lub pasa awaryjnego postoju,</w:t>
      </w:r>
    </w:p>
    <w:p w:rsidR="00AF25CD" w:rsidRDefault="00AF25CD" w:rsidP="00AF25CD">
      <w:pPr>
        <w:numPr>
          <w:ilvl w:val="0"/>
          <w:numId w:val="3"/>
        </w:numPr>
        <w:rPr>
          <w:rFonts w:ascii="Arial" w:hAnsi="Arial"/>
        </w:rPr>
      </w:pPr>
      <w:r>
        <w:rPr>
          <w:rFonts w:ascii="Arial" w:hAnsi="Arial"/>
        </w:rPr>
        <w:t>ustalić wysokość zamocowania znaku na konstrukcji wsporczej.</w:t>
      </w:r>
    </w:p>
    <w:p w:rsidR="00AF25CD" w:rsidRDefault="00AF25CD" w:rsidP="00AF25CD">
      <w:pPr>
        <w:rPr>
          <w:rFonts w:ascii="Arial" w:hAnsi="Arial"/>
        </w:rPr>
      </w:pPr>
      <w:r>
        <w:rPr>
          <w:rFonts w:ascii="Arial" w:hAnsi="Arial"/>
        </w:rPr>
        <w:tab/>
        <w:t>Punkty stabilizujące miejsca ustawienia znaków należy zabezpieczyć w taki sposób, aby w czasie trwania i odbioru robót istniała możliwość sprawdzenia lokalizacji znaków.</w:t>
      </w:r>
    </w:p>
    <w:p w:rsidR="00AF25CD" w:rsidRDefault="00AF25CD" w:rsidP="00AF25CD">
      <w:pPr>
        <w:numPr>
          <w:ilvl w:val="12"/>
          <w:numId w:val="0"/>
        </w:numPr>
        <w:rPr>
          <w:rFonts w:ascii="Arial" w:hAnsi="Arial"/>
        </w:rPr>
      </w:pPr>
      <w:r>
        <w:rPr>
          <w:rFonts w:ascii="Arial" w:hAnsi="Arial"/>
        </w:rPr>
        <w:tab/>
        <w:t>Lokalizacja i wysokość zamocowania znaku powinny być zgodne z dokumentacją projektową.</w:t>
      </w:r>
    </w:p>
    <w:p w:rsidR="00AF25CD" w:rsidRDefault="00AF25CD" w:rsidP="00AF25CD">
      <w:pPr>
        <w:numPr>
          <w:ilvl w:val="12"/>
          <w:numId w:val="0"/>
        </w:numPr>
        <w:rPr>
          <w:rFonts w:ascii="Arial" w:hAnsi="Arial"/>
        </w:rPr>
      </w:pPr>
      <w:r>
        <w:rPr>
          <w:rFonts w:ascii="Arial" w:hAnsi="Arial"/>
        </w:rPr>
        <w:tab/>
      </w:r>
    </w:p>
    <w:p w:rsidR="00AF25CD" w:rsidRDefault="00AF25CD" w:rsidP="00AF25CD">
      <w:pPr>
        <w:pStyle w:val="Nagwek2"/>
        <w:numPr>
          <w:ilvl w:val="12"/>
          <w:numId w:val="0"/>
        </w:numPr>
        <w:rPr>
          <w:rFonts w:ascii="Arial" w:hAnsi="Arial"/>
        </w:rPr>
      </w:pPr>
      <w:r>
        <w:rPr>
          <w:rFonts w:ascii="Arial" w:hAnsi="Arial"/>
        </w:rPr>
        <w:t>5.3. Wykonanie wykopów i fundamentów dla konstrukcji wsporczych znaków</w:t>
      </w:r>
    </w:p>
    <w:p w:rsidR="00AF25CD" w:rsidRDefault="00AF25CD" w:rsidP="00AF25CD">
      <w:pPr>
        <w:numPr>
          <w:ilvl w:val="12"/>
          <w:numId w:val="0"/>
        </w:numPr>
        <w:rPr>
          <w:rFonts w:ascii="Arial" w:hAnsi="Arial"/>
        </w:rPr>
      </w:pPr>
      <w:r>
        <w:rPr>
          <w:rFonts w:ascii="Arial" w:hAnsi="Arial"/>
        </w:rPr>
        <w:tab/>
        <w:t>Sposób wykonania wykopu pod fundament znaku pionowego powinien być dostosowany do głębokości wykopu, rodzaju gruntu i posiadanego sprzętu. Wymiary wykopu powinny być zgodne z dokumentacją projektową lub wskazaniami Inżyniera.</w:t>
      </w:r>
    </w:p>
    <w:p w:rsidR="00AF25CD" w:rsidRDefault="00AF25CD" w:rsidP="00AF25CD">
      <w:pPr>
        <w:numPr>
          <w:ilvl w:val="12"/>
          <w:numId w:val="0"/>
        </w:numPr>
        <w:rPr>
          <w:rFonts w:ascii="Arial" w:hAnsi="Arial"/>
        </w:rPr>
      </w:pPr>
      <w:r>
        <w:rPr>
          <w:rFonts w:ascii="Arial" w:hAnsi="Arial"/>
        </w:rPr>
        <w:tab/>
        <w:t>Wykopy fundamentowe powinny być wykonane w takim okresie, aby po ich zakończeniu można było przystąpić natychmiast do wykonania w nich robót fundamentowych.</w:t>
      </w:r>
    </w:p>
    <w:p w:rsidR="00AF25CD" w:rsidRDefault="00AF25CD" w:rsidP="00AF25CD">
      <w:pPr>
        <w:numPr>
          <w:ilvl w:val="12"/>
          <w:numId w:val="0"/>
        </w:numPr>
        <w:spacing w:before="120"/>
        <w:rPr>
          <w:rFonts w:ascii="Arial" w:hAnsi="Arial"/>
        </w:rPr>
      </w:pPr>
      <w:r>
        <w:rPr>
          <w:rFonts w:ascii="Arial" w:hAnsi="Arial"/>
          <w:b/>
        </w:rPr>
        <w:t xml:space="preserve">5.3.1. </w:t>
      </w:r>
      <w:r>
        <w:rPr>
          <w:rFonts w:ascii="Arial" w:hAnsi="Arial"/>
        </w:rPr>
        <w:t>Prefabrykaty betonowe</w:t>
      </w:r>
    </w:p>
    <w:p w:rsidR="00AF25CD" w:rsidRDefault="00AF25CD" w:rsidP="00AF25CD">
      <w:pPr>
        <w:numPr>
          <w:ilvl w:val="12"/>
          <w:numId w:val="0"/>
        </w:numPr>
        <w:spacing w:before="120"/>
        <w:rPr>
          <w:rFonts w:ascii="Arial" w:hAnsi="Arial"/>
        </w:rPr>
      </w:pPr>
      <w:r>
        <w:rPr>
          <w:rFonts w:ascii="Arial" w:hAnsi="Arial"/>
        </w:rPr>
        <w:tab/>
        <w:t>Dno wykopu przed ułożeniem prefabrykatu należy wyrównać i zagęścić. Wolne przestrzenie między ścianami gruntu i prefabrykatem należy wypełnić materiałem kamiennym, np. klińcem i dokładnie zagęścić ubijakami ręcznymi.</w:t>
      </w:r>
    </w:p>
    <w:p w:rsidR="00AF25CD" w:rsidRDefault="00AF25CD" w:rsidP="00AF25CD">
      <w:pPr>
        <w:numPr>
          <w:ilvl w:val="12"/>
          <w:numId w:val="0"/>
        </w:numPr>
        <w:rPr>
          <w:rFonts w:ascii="Arial" w:hAnsi="Arial"/>
        </w:rPr>
      </w:pPr>
      <w:r>
        <w:rPr>
          <w:rFonts w:ascii="Arial" w:hAnsi="Arial"/>
        </w:rPr>
        <w:tab/>
        <w:t>Jeżeli znak jest zlokalizowany na poboczu drogi, to górna powierzchnia prefabrykatu powinna być równa z powierzchnią pobocza lub być wyniesiona nad tę powierzchnię nie więcej niż 0,03 m.</w:t>
      </w:r>
    </w:p>
    <w:p w:rsidR="00AF25CD" w:rsidRDefault="00AF25CD" w:rsidP="00AF25CD">
      <w:pPr>
        <w:numPr>
          <w:ilvl w:val="12"/>
          <w:numId w:val="0"/>
        </w:numPr>
        <w:spacing w:before="120"/>
        <w:rPr>
          <w:rFonts w:ascii="Arial" w:hAnsi="Arial"/>
        </w:rPr>
      </w:pPr>
      <w:r>
        <w:rPr>
          <w:rFonts w:ascii="Arial" w:hAnsi="Arial"/>
          <w:b/>
        </w:rPr>
        <w:t xml:space="preserve">5.3.2. </w:t>
      </w:r>
      <w:r>
        <w:rPr>
          <w:rFonts w:ascii="Arial" w:hAnsi="Arial"/>
        </w:rPr>
        <w:t>Fundamenty z betonu i betonu zbrojonego</w:t>
      </w:r>
    </w:p>
    <w:p w:rsidR="00AF25CD" w:rsidRDefault="00AF25CD" w:rsidP="00AF25CD">
      <w:pPr>
        <w:numPr>
          <w:ilvl w:val="12"/>
          <w:numId w:val="0"/>
        </w:numPr>
        <w:spacing w:before="120"/>
        <w:rPr>
          <w:rFonts w:ascii="Arial" w:hAnsi="Arial"/>
        </w:rPr>
      </w:pPr>
      <w:r>
        <w:rPr>
          <w:rFonts w:ascii="Arial" w:hAnsi="Arial"/>
        </w:rPr>
        <w:tab/>
        <w:t>Wykopy pod fundamenty konstrukcji wsporczych dla zamocowania znaków wielkowymiarowych (znak kierunku i miejscowości), wykonywane z betonu „na mokro” lub z betonu zbrojonego należy wykonać zgodnie z PN-S-02205 [24].</w:t>
      </w:r>
    </w:p>
    <w:p w:rsidR="00AF25CD" w:rsidRDefault="00AF25CD" w:rsidP="00AF25CD">
      <w:pPr>
        <w:numPr>
          <w:ilvl w:val="12"/>
          <w:numId w:val="0"/>
        </w:numPr>
        <w:rPr>
          <w:rFonts w:ascii="Arial" w:hAnsi="Arial"/>
        </w:rPr>
      </w:pPr>
      <w:r>
        <w:rPr>
          <w:rFonts w:ascii="Arial" w:hAnsi="Aria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Arial" w:hAnsi="Arial"/>
        </w:rPr>
        <w:sym w:font="Symbol" w:char="F0B1"/>
      </w:r>
      <w:r>
        <w:rPr>
          <w:rFonts w:ascii="Arial" w:hAnsi="Arial"/>
        </w:rPr>
        <w:t xml:space="preserve"> 2 cm.</w:t>
      </w:r>
    </w:p>
    <w:p w:rsidR="00AF25CD" w:rsidRDefault="00AF25CD" w:rsidP="00AF25CD">
      <w:pPr>
        <w:numPr>
          <w:ilvl w:val="12"/>
          <w:numId w:val="0"/>
        </w:numPr>
        <w:rPr>
          <w:rFonts w:ascii="Arial" w:hAnsi="Arial"/>
        </w:rPr>
      </w:pPr>
      <w:r>
        <w:rPr>
          <w:rFonts w:ascii="Arial" w:hAnsi="Arial"/>
        </w:rPr>
        <w:tab/>
        <w:t>Przy naruszonej strukturze gruntu rodzimego, grunt należy usunąć i miejsce wypełnić do spodu fundamentu betonem. Płaszczyzny boczne fundamentów stykające się z gruntem należy zabezpieczyć izolacją, np. emulsją kationową. Po wykonaniu fundamentu wykop należy zasypać warstwami grubości 20 cm z dokładnym zagęszczeniem gruntu.</w:t>
      </w:r>
    </w:p>
    <w:p w:rsidR="00AF25CD" w:rsidRDefault="00AF25CD" w:rsidP="00AF25CD">
      <w:pPr>
        <w:pStyle w:val="Nagwek2"/>
        <w:numPr>
          <w:ilvl w:val="12"/>
          <w:numId w:val="0"/>
        </w:numPr>
        <w:spacing w:before="240"/>
        <w:rPr>
          <w:rFonts w:ascii="Arial" w:hAnsi="Arial"/>
        </w:rPr>
      </w:pPr>
      <w:r>
        <w:rPr>
          <w:rFonts w:ascii="Arial" w:hAnsi="Arial"/>
        </w:rPr>
        <w:lastRenderedPageBreak/>
        <w:t>5.4. Konstrukcje wsporcze</w:t>
      </w:r>
    </w:p>
    <w:p w:rsidR="00AF25CD" w:rsidRDefault="00AF25CD" w:rsidP="00AF25CD">
      <w:pPr>
        <w:numPr>
          <w:ilvl w:val="12"/>
          <w:numId w:val="0"/>
        </w:numPr>
        <w:spacing w:before="120"/>
        <w:rPr>
          <w:rFonts w:ascii="Arial" w:hAnsi="Arial"/>
        </w:rPr>
      </w:pPr>
      <w:r>
        <w:rPr>
          <w:rFonts w:ascii="Arial" w:hAnsi="Arial"/>
          <w:b/>
        </w:rPr>
        <w:t xml:space="preserve">5.4.1. </w:t>
      </w:r>
      <w:r>
        <w:rPr>
          <w:rFonts w:ascii="Arial" w:hAnsi="Arial"/>
        </w:rPr>
        <w:t>Poziom górnej powierzchni fundamentu</w:t>
      </w:r>
    </w:p>
    <w:p w:rsidR="00AF25CD" w:rsidRDefault="00AF25CD" w:rsidP="00AF25CD">
      <w:pPr>
        <w:numPr>
          <w:ilvl w:val="12"/>
          <w:numId w:val="0"/>
        </w:numPr>
        <w:spacing w:before="120"/>
        <w:rPr>
          <w:rFonts w:ascii="Arial" w:hAnsi="Arial"/>
        </w:rPr>
      </w:pPr>
      <w:r>
        <w:rPr>
          <w:rFonts w:ascii="Arial" w:hAnsi="Aria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AF25CD" w:rsidRDefault="00AF25CD" w:rsidP="00AF25CD">
      <w:pPr>
        <w:numPr>
          <w:ilvl w:val="12"/>
          <w:numId w:val="0"/>
        </w:numPr>
        <w:spacing w:before="120"/>
        <w:rPr>
          <w:rFonts w:ascii="Arial" w:hAnsi="Arial"/>
        </w:rPr>
      </w:pPr>
      <w:r>
        <w:rPr>
          <w:rFonts w:ascii="Arial" w:hAnsi="Arial"/>
          <w:b/>
        </w:rPr>
        <w:t xml:space="preserve">5.4.2. </w:t>
      </w:r>
      <w:r>
        <w:rPr>
          <w:rFonts w:ascii="Arial" w:hAnsi="Arial"/>
        </w:rPr>
        <w:t>Barwa konstrukcji wsporczej</w:t>
      </w:r>
    </w:p>
    <w:p w:rsidR="00AF25CD" w:rsidRDefault="00AF25CD" w:rsidP="00AF25CD">
      <w:pPr>
        <w:numPr>
          <w:ilvl w:val="12"/>
          <w:numId w:val="0"/>
        </w:numPr>
        <w:spacing w:before="120"/>
        <w:rPr>
          <w:rFonts w:ascii="Arial" w:hAnsi="Arial"/>
        </w:rPr>
      </w:pPr>
      <w:r>
        <w:rPr>
          <w:rFonts w:ascii="Arial" w:hAnsi="Aria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AF25CD" w:rsidRDefault="00AF25CD" w:rsidP="00AF25CD">
      <w:pPr>
        <w:pStyle w:val="Nagwek2"/>
        <w:numPr>
          <w:ilvl w:val="12"/>
          <w:numId w:val="0"/>
        </w:numPr>
        <w:rPr>
          <w:rFonts w:ascii="Arial" w:hAnsi="Arial"/>
          <w:b w:val="0"/>
        </w:rPr>
      </w:pPr>
      <w:r>
        <w:rPr>
          <w:rFonts w:ascii="Arial" w:hAnsi="Arial"/>
        </w:rPr>
        <w:t xml:space="preserve">5.4.3. </w:t>
      </w:r>
      <w:r>
        <w:rPr>
          <w:rFonts w:ascii="Arial" w:hAnsi="Arial"/>
          <w:b w:val="0"/>
        </w:rPr>
        <w:t>Wykonanie spawanych złącz elementów metalowych (konstrukcji wsporczych)</w:t>
      </w:r>
    </w:p>
    <w:p w:rsidR="00AF25CD" w:rsidRDefault="00AF25CD" w:rsidP="00AF25CD">
      <w:pPr>
        <w:numPr>
          <w:ilvl w:val="12"/>
          <w:numId w:val="0"/>
        </w:numPr>
        <w:rPr>
          <w:rFonts w:ascii="Arial" w:hAnsi="Arial"/>
        </w:rPr>
      </w:pPr>
      <w:r>
        <w:rPr>
          <w:rFonts w:ascii="Arial" w:hAnsi="Arial"/>
        </w:rPr>
        <w:tab/>
      </w:r>
    </w:p>
    <w:p w:rsidR="00AF25CD" w:rsidRDefault="00AF25CD" w:rsidP="00AF25CD">
      <w:pPr>
        <w:numPr>
          <w:ilvl w:val="12"/>
          <w:numId w:val="0"/>
        </w:numPr>
        <w:rPr>
          <w:rFonts w:ascii="Arial" w:hAnsi="Arial"/>
        </w:rPr>
      </w:pPr>
      <w:r>
        <w:rPr>
          <w:rFonts w:ascii="Arial" w:hAnsi="Arial"/>
        </w:rPr>
        <w:tab/>
        <w:t xml:space="preserve">Wytrzymałość zmęczeniowa spoin powinna wynosić od 19 do 32 </w:t>
      </w:r>
      <w:proofErr w:type="spellStart"/>
      <w:r>
        <w:rPr>
          <w:rFonts w:ascii="Arial" w:hAnsi="Arial"/>
        </w:rPr>
        <w:t>MPa</w:t>
      </w:r>
      <w:proofErr w:type="spellEnd"/>
      <w:r>
        <w:rPr>
          <w:rFonts w:ascii="Arial" w:hAnsi="Arial"/>
        </w:rPr>
        <w:t xml:space="preserve">. Odchyłki wymiarów spoin nie powinny przekraczać </w:t>
      </w:r>
      <w:r>
        <w:rPr>
          <w:rFonts w:ascii="Arial" w:hAnsi="Arial"/>
        </w:rPr>
        <w:sym w:font="Symbol" w:char="F0B1"/>
      </w:r>
      <w:r>
        <w:rPr>
          <w:rFonts w:ascii="Arial" w:hAnsi="Arial"/>
        </w:rPr>
        <w:t xml:space="preserve"> 0,5 mm dla spoiny grubości do 6 mm i  </w:t>
      </w:r>
      <w:r>
        <w:rPr>
          <w:rFonts w:ascii="Arial" w:hAnsi="Arial"/>
        </w:rPr>
        <w:sym w:font="Symbol" w:char="F0B1"/>
      </w:r>
      <w:r>
        <w:rPr>
          <w:rFonts w:ascii="Arial" w:hAnsi="Arial"/>
        </w:rPr>
        <w:t> 1,0 mm dla spoiny o grubości powyżej 6 mm.</w:t>
      </w:r>
    </w:p>
    <w:p w:rsidR="00AF25CD" w:rsidRDefault="00AF25CD" w:rsidP="00AF25CD">
      <w:pPr>
        <w:numPr>
          <w:ilvl w:val="12"/>
          <w:numId w:val="0"/>
        </w:numPr>
        <w:rPr>
          <w:rFonts w:ascii="Arial" w:hAnsi="Arial"/>
        </w:rPr>
      </w:pPr>
      <w:r>
        <w:rPr>
          <w:rFonts w:ascii="Arial" w:hAnsi="Arial"/>
        </w:rPr>
        <w:tab/>
        <w:t>Odstęp w złączach zakładkowych i nakładkowych, pomiędzy przylegającymi do siebie płaszczyznami nie powinien być większy niż 1 mm.</w:t>
      </w:r>
    </w:p>
    <w:p w:rsidR="00AF25CD" w:rsidRDefault="00AF25CD" w:rsidP="00AF25CD">
      <w:pPr>
        <w:numPr>
          <w:ilvl w:val="12"/>
          <w:numId w:val="0"/>
        </w:numPr>
        <w:rPr>
          <w:rFonts w:ascii="Arial" w:hAnsi="Arial"/>
        </w:rPr>
      </w:pPr>
      <w:r>
        <w:rPr>
          <w:rFonts w:ascii="Arial" w:hAnsi="Arial"/>
        </w:rPr>
        <w:tab/>
        <w:t>Złącza spawane nie powinny mieć wad większych niż podane w tablicy 5. Inżynier może dopuścić wady większe niż podane w tablicy jeśli uzna, że nie mają one zasadniczego wpływu na cechy eksploatacyjne znaku pionowego.</w:t>
      </w:r>
    </w:p>
    <w:p w:rsidR="00AF25CD" w:rsidRDefault="00AF25CD" w:rsidP="00AF25CD">
      <w:pPr>
        <w:numPr>
          <w:ilvl w:val="12"/>
          <w:numId w:val="0"/>
        </w:numPr>
        <w:spacing w:before="120" w:after="120"/>
        <w:rPr>
          <w:rFonts w:ascii="Arial" w:hAnsi="Arial"/>
        </w:rPr>
      </w:pPr>
      <w:r>
        <w:rPr>
          <w:rFonts w:ascii="Arial" w:hAnsi="Arial"/>
        </w:rPr>
        <w:t>Tablica 4. Dopuszczalne wymiary wad w złączach spawanych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55"/>
        <w:gridCol w:w="3755"/>
      </w:tblGrid>
      <w:tr w:rsidR="00AF25CD" w:rsidTr="00AF25CD">
        <w:tc>
          <w:tcPr>
            <w:tcW w:w="3755" w:type="dxa"/>
            <w:tcBorders>
              <w:top w:val="single" w:sz="6" w:space="0" w:color="auto"/>
              <w:left w:val="single" w:sz="6" w:space="0" w:color="auto"/>
              <w:bottom w:val="double" w:sz="6" w:space="0" w:color="auto"/>
              <w:right w:val="single" w:sz="6" w:space="0" w:color="auto"/>
            </w:tcBorders>
            <w:hideMark/>
          </w:tcPr>
          <w:p w:rsidR="00AF25CD" w:rsidRDefault="00AF25CD">
            <w:pPr>
              <w:numPr>
                <w:ilvl w:val="12"/>
                <w:numId w:val="0"/>
              </w:numPr>
              <w:spacing w:before="60" w:after="60"/>
              <w:jc w:val="center"/>
              <w:rPr>
                <w:rFonts w:ascii="Arial" w:hAnsi="Arial"/>
              </w:rPr>
            </w:pPr>
            <w:r>
              <w:rPr>
                <w:rFonts w:ascii="Arial" w:hAnsi="Arial"/>
              </w:rPr>
              <w:t>Rodzaj wady</w:t>
            </w:r>
          </w:p>
        </w:tc>
        <w:tc>
          <w:tcPr>
            <w:tcW w:w="3755" w:type="dxa"/>
            <w:tcBorders>
              <w:top w:val="single" w:sz="6" w:space="0" w:color="auto"/>
              <w:left w:val="single" w:sz="6" w:space="0" w:color="auto"/>
              <w:bottom w:val="double" w:sz="6" w:space="0" w:color="auto"/>
              <w:right w:val="single" w:sz="6" w:space="0" w:color="auto"/>
            </w:tcBorders>
            <w:hideMark/>
          </w:tcPr>
          <w:p w:rsidR="00AF25CD" w:rsidRDefault="00AF25CD">
            <w:pPr>
              <w:numPr>
                <w:ilvl w:val="12"/>
                <w:numId w:val="0"/>
              </w:numPr>
              <w:spacing w:before="60" w:after="60"/>
              <w:jc w:val="center"/>
              <w:rPr>
                <w:rFonts w:ascii="Arial" w:hAnsi="Arial"/>
              </w:rPr>
            </w:pPr>
            <w:r>
              <w:rPr>
                <w:rFonts w:ascii="Arial" w:hAnsi="Arial"/>
              </w:rPr>
              <w:t>Dopuszczalny wymiar wady,   mm</w:t>
            </w:r>
          </w:p>
        </w:tc>
      </w:tr>
      <w:tr w:rsidR="00AF25CD" w:rsidTr="00AF25CD">
        <w:tc>
          <w:tcPr>
            <w:tcW w:w="3755" w:type="dxa"/>
            <w:tcBorders>
              <w:top w:val="nil"/>
              <w:left w:val="single" w:sz="6" w:space="0" w:color="auto"/>
              <w:bottom w:val="single" w:sz="6" w:space="0" w:color="auto"/>
              <w:right w:val="single" w:sz="6" w:space="0" w:color="auto"/>
            </w:tcBorders>
            <w:hideMark/>
          </w:tcPr>
          <w:p w:rsidR="00AF25CD" w:rsidRDefault="00AF25CD">
            <w:pPr>
              <w:numPr>
                <w:ilvl w:val="12"/>
                <w:numId w:val="0"/>
              </w:numPr>
              <w:spacing w:before="60"/>
              <w:rPr>
                <w:rFonts w:ascii="Arial" w:hAnsi="Arial"/>
              </w:rPr>
            </w:pPr>
            <w:r>
              <w:rPr>
                <w:rFonts w:ascii="Arial" w:hAnsi="Arial"/>
              </w:rPr>
              <w:t>Brak przetopu</w:t>
            </w:r>
          </w:p>
          <w:p w:rsidR="00AF25CD" w:rsidRDefault="00AF25CD">
            <w:pPr>
              <w:numPr>
                <w:ilvl w:val="12"/>
                <w:numId w:val="0"/>
              </w:numPr>
              <w:rPr>
                <w:rFonts w:ascii="Arial" w:hAnsi="Arial"/>
              </w:rPr>
            </w:pPr>
            <w:r>
              <w:rPr>
                <w:rFonts w:ascii="Arial" w:hAnsi="Arial"/>
              </w:rPr>
              <w:t>Podtopienie lica spoiny</w:t>
            </w:r>
          </w:p>
          <w:p w:rsidR="00AF25CD" w:rsidRDefault="00AF25CD">
            <w:pPr>
              <w:numPr>
                <w:ilvl w:val="12"/>
                <w:numId w:val="0"/>
              </w:numPr>
              <w:rPr>
                <w:rFonts w:ascii="Arial" w:hAnsi="Arial"/>
              </w:rPr>
            </w:pPr>
            <w:r>
              <w:rPr>
                <w:rFonts w:ascii="Arial" w:hAnsi="Arial"/>
              </w:rPr>
              <w:t>Porowatość spoiny</w:t>
            </w:r>
          </w:p>
          <w:p w:rsidR="00AF25CD" w:rsidRDefault="00AF25CD">
            <w:pPr>
              <w:numPr>
                <w:ilvl w:val="12"/>
                <w:numId w:val="0"/>
              </w:numPr>
              <w:rPr>
                <w:rFonts w:ascii="Arial" w:hAnsi="Arial"/>
              </w:rPr>
            </w:pPr>
            <w:r>
              <w:rPr>
                <w:rFonts w:ascii="Arial" w:hAnsi="Arial"/>
              </w:rPr>
              <w:t>Krater w spoinie</w:t>
            </w:r>
          </w:p>
          <w:p w:rsidR="00AF25CD" w:rsidRDefault="00AF25CD">
            <w:pPr>
              <w:numPr>
                <w:ilvl w:val="12"/>
                <w:numId w:val="0"/>
              </w:numPr>
              <w:rPr>
                <w:rFonts w:ascii="Arial" w:hAnsi="Arial"/>
              </w:rPr>
            </w:pPr>
            <w:r>
              <w:rPr>
                <w:rFonts w:ascii="Arial" w:hAnsi="Arial"/>
              </w:rPr>
              <w:t>Wklęśnięcie lica spoiny</w:t>
            </w:r>
          </w:p>
          <w:p w:rsidR="00AF25CD" w:rsidRDefault="00AF25CD">
            <w:pPr>
              <w:numPr>
                <w:ilvl w:val="12"/>
                <w:numId w:val="0"/>
              </w:numPr>
              <w:rPr>
                <w:rFonts w:ascii="Arial" w:hAnsi="Arial"/>
              </w:rPr>
            </w:pPr>
            <w:r>
              <w:rPr>
                <w:rFonts w:ascii="Arial" w:hAnsi="Arial"/>
              </w:rPr>
              <w:t>Uszkodzenie mechaniczne spoiny</w:t>
            </w:r>
          </w:p>
          <w:p w:rsidR="00AF25CD" w:rsidRDefault="00AF25CD">
            <w:pPr>
              <w:numPr>
                <w:ilvl w:val="12"/>
                <w:numId w:val="0"/>
              </w:numPr>
              <w:rPr>
                <w:rFonts w:ascii="Arial" w:hAnsi="Arial"/>
              </w:rPr>
            </w:pPr>
            <w:r>
              <w:rPr>
                <w:rFonts w:ascii="Arial" w:hAnsi="Arial"/>
              </w:rPr>
              <w:t>Różnica wysokości sąsiednich wgłębień               i wypukłości lica spoiny</w:t>
            </w:r>
          </w:p>
        </w:tc>
        <w:tc>
          <w:tcPr>
            <w:tcW w:w="3755" w:type="dxa"/>
            <w:tcBorders>
              <w:top w:val="nil"/>
              <w:left w:val="single" w:sz="6" w:space="0" w:color="auto"/>
              <w:bottom w:val="single" w:sz="6" w:space="0" w:color="auto"/>
              <w:right w:val="single" w:sz="6" w:space="0" w:color="auto"/>
            </w:tcBorders>
          </w:tcPr>
          <w:p w:rsidR="00AF25CD" w:rsidRDefault="00AF25CD">
            <w:pPr>
              <w:numPr>
                <w:ilvl w:val="12"/>
                <w:numId w:val="0"/>
              </w:numPr>
              <w:spacing w:before="60"/>
              <w:jc w:val="center"/>
              <w:rPr>
                <w:rFonts w:ascii="Arial" w:hAnsi="Arial"/>
              </w:rPr>
            </w:pPr>
            <w:r>
              <w:rPr>
                <w:rFonts w:ascii="Arial" w:hAnsi="Arial"/>
              </w:rPr>
              <w:t>2,0</w:t>
            </w:r>
          </w:p>
          <w:p w:rsidR="00AF25CD" w:rsidRDefault="00AF25CD">
            <w:pPr>
              <w:numPr>
                <w:ilvl w:val="12"/>
                <w:numId w:val="0"/>
              </w:numPr>
              <w:jc w:val="center"/>
              <w:rPr>
                <w:rFonts w:ascii="Arial" w:hAnsi="Arial"/>
              </w:rPr>
            </w:pPr>
            <w:r>
              <w:rPr>
                <w:rFonts w:ascii="Arial" w:hAnsi="Arial"/>
              </w:rPr>
              <w:t>1,5</w:t>
            </w:r>
          </w:p>
          <w:p w:rsidR="00AF25CD" w:rsidRDefault="00AF25CD">
            <w:pPr>
              <w:numPr>
                <w:ilvl w:val="12"/>
                <w:numId w:val="0"/>
              </w:numPr>
              <w:jc w:val="center"/>
              <w:rPr>
                <w:rFonts w:ascii="Arial" w:hAnsi="Arial"/>
              </w:rPr>
            </w:pPr>
            <w:r>
              <w:rPr>
                <w:rFonts w:ascii="Arial" w:hAnsi="Arial"/>
              </w:rPr>
              <w:t>3,0</w:t>
            </w:r>
          </w:p>
          <w:p w:rsidR="00AF25CD" w:rsidRDefault="00AF25CD">
            <w:pPr>
              <w:numPr>
                <w:ilvl w:val="12"/>
                <w:numId w:val="0"/>
              </w:numPr>
              <w:jc w:val="center"/>
              <w:rPr>
                <w:rFonts w:ascii="Arial" w:hAnsi="Arial"/>
              </w:rPr>
            </w:pPr>
            <w:r>
              <w:rPr>
                <w:rFonts w:ascii="Arial" w:hAnsi="Arial"/>
              </w:rPr>
              <w:t>1,5</w:t>
            </w:r>
          </w:p>
          <w:p w:rsidR="00AF25CD" w:rsidRDefault="00AF25CD">
            <w:pPr>
              <w:numPr>
                <w:ilvl w:val="12"/>
                <w:numId w:val="0"/>
              </w:numPr>
              <w:jc w:val="center"/>
              <w:rPr>
                <w:rFonts w:ascii="Arial" w:hAnsi="Arial"/>
              </w:rPr>
            </w:pPr>
            <w:r>
              <w:rPr>
                <w:rFonts w:ascii="Arial" w:hAnsi="Arial"/>
              </w:rPr>
              <w:t>1,5</w:t>
            </w:r>
          </w:p>
          <w:p w:rsidR="00AF25CD" w:rsidRDefault="00AF25CD">
            <w:pPr>
              <w:numPr>
                <w:ilvl w:val="12"/>
                <w:numId w:val="0"/>
              </w:numPr>
              <w:jc w:val="center"/>
              <w:rPr>
                <w:rFonts w:ascii="Arial" w:hAnsi="Arial"/>
              </w:rPr>
            </w:pPr>
            <w:r>
              <w:rPr>
                <w:rFonts w:ascii="Arial" w:hAnsi="Arial"/>
              </w:rPr>
              <w:t>1,0</w:t>
            </w:r>
          </w:p>
          <w:p w:rsidR="00AF25CD" w:rsidRDefault="00AF25CD">
            <w:pPr>
              <w:numPr>
                <w:ilvl w:val="12"/>
                <w:numId w:val="0"/>
              </w:numPr>
              <w:jc w:val="center"/>
              <w:rPr>
                <w:rFonts w:ascii="Arial" w:hAnsi="Arial"/>
              </w:rPr>
            </w:pPr>
          </w:p>
          <w:p w:rsidR="00AF25CD" w:rsidRDefault="00AF25CD">
            <w:pPr>
              <w:numPr>
                <w:ilvl w:val="12"/>
                <w:numId w:val="0"/>
              </w:numPr>
              <w:spacing w:after="60"/>
              <w:jc w:val="center"/>
              <w:rPr>
                <w:rFonts w:ascii="Arial" w:hAnsi="Arial"/>
              </w:rPr>
            </w:pPr>
            <w:r>
              <w:rPr>
                <w:rFonts w:ascii="Arial" w:hAnsi="Arial"/>
              </w:rPr>
              <w:t>3,0</w:t>
            </w:r>
          </w:p>
        </w:tc>
      </w:tr>
    </w:tbl>
    <w:p w:rsidR="00AF25CD" w:rsidRDefault="00AF25CD" w:rsidP="00AF25CD">
      <w:pPr>
        <w:numPr>
          <w:ilvl w:val="12"/>
          <w:numId w:val="0"/>
        </w:numPr>
        <w:spacing w:before="120"/>
        <w:rPr>
          <w:rFonts w:ascii="Arial" w:hAnsi="Arial"/>
        </w:rPr>
      </w:pPr>
    </w:p>
    <w:p w:rsidR="00AF25CD" w:rsidRDefault="00AF25CD" w:rsidP="00AF25CD">
      <w:pPr>
        <w:pStyle w:val="Nagwek2"/>
        <w:numPr>
          <w:ilvl w:val="12"/>
          <w:numId w:val="0"/>
        </w:numPr>
        <w:rPr>
          <w:rFonts w:ascii="Arial" w:hAnsi="Arial"/>
          <w:b w:val="0"/>
        </w:rPr>
      </w:pPr>
      <w:r>
        <w:rPr>
          <w:rFonts w:ascii="Arial" w:hAnsi="Arial"/>
        </w:rPr>
        <w:t xml:space="preserve">5.4.4. </w:t>
      </w:r>
      <w:r>
        <w:rPr>
          <w:rFonts w:ascii="Arial" w:hAnsi="Arial"/>
          <w:b w:val="0"/>
        </w:rPr>
        <w:t xml:space="preserve"> Tolerancje ustawienia znaku pionowego</w:t>
      </w:r>
    </w:p>
    <w:p w:rsidR="00AF25CD" w:rsidRDefault="00AF25CD" w:rsidP="00AF25CD">
      <w:pPr>
        <w:numPr>
          <w:ilvl w:val="12"/>
          <w:numId w:val="0"/>
        </w:numPr>
        <w:rPr>
          <w:rFonts w:ascii="Arial" w:hAnsi="Arial"/>
        </w:rPr>
      </w:pPr>
      <w:r>
        <w:rPr>
          <w:rFonts w:ascii="Arial" w:hAnsi="Arial"/>
        </w:rPr>
        <w:tab/>
        <w:t>Konstrukcje wsporcze znaków - słupki, słupy, wysięgniki, konstrukcje dla tablic wielkowymiarowych, powinny być wykonane zgodnie z dokumentacją pionową i  SST.</w:t>
      </w:r>
    </w:p>
    <w:p w:rsidR="00AF25CD" w:rsidRDefault="00AF25CD" w:rsidP="00AF25CD">
      <w:pPr>
        <w:numPr>
          <w:ilvl w:val="12"/>
          <w:numId w:val="0"/>
        </w:numPr>
        <w:rPr>
          <w:rFonts w:ascii="Arial" w:hAnsi="Arial"/>
        </w:rPr>
      </w:pPr>
      <w:r>
        <w:rPr>
          <w:rFonts w:ascii="Arial" w:hAnsi="Arial"/>
        </w:rPr>
        <w:tab/>
        <w:t>Dopuszczalne tolerancje ustawienia znaku:</w:t>
      </w:r>
    </w:p>
    <w:p w:rsidR="00AF25CD" w:rsidRDefault="00AF25CD" w:rsidP="00AF25CD">
      <w:pPr>
        <w:numPr>
          <w:ilvl w:val="0"/>
          <w:numId w:val="3"/>
        </w:numPr>
        <w:rPr>
          <w:rFonts w:ascii="Arial" w:hAnsi="Arial"/>
        </w:rPr>
      </w:pPr>
      <w:r>
        <w:rPr>
          <w:rFonts w:ascii="Arial" w:hAnsi="Arial"/>
        </w:rPr>
        <w:t xml:space="preserve">odchyłka od pionu, nie więcej niż </w:t>
      </w:r>
      <w:r>
        <w:rPr>
          <w:rFonts w:ascii="Arial" w:hAnsi="Arial"/>
        </w:rPr>
        <w:sym w:font="Symbol" w:char="F0B1"/>
      </w:r>
      <w:r>
        <w:rPr>
          <w:rFonts w:ascii="Arial" w:hAnsi="Arial"/>
        </w:rPr>
        <w:t xml:space="preserve"> 1 %,</w:t>
      </w:r>
    </w:p>
    <w:p w:rsidR="00AF25CD" w:rsidRDefault="00AF25CD" w:rsidP="00AF25CD">
      <w:pPr>
        <w:numPr>
          <w:ilvl w:val="0"/>
          <w:numId w:val="3"/>
        </w:numPr>
        <w:rPr>
          <w:rFonts w:ascii="Arial" w:hAnsi="Arial"/>
        </w:rPr>
      </w:pPr>
      <w:r>
        <w:rPr>
          <w:rFonts w:ascii="Arial" w:hAnsi="Arial"/>
        </w:rPr>
        <w:t xml:space="preserve">odchyłka w wysokości umieszczenia znaku, nie więcej niż </w:t>
      </w:r>
      <w:r>
        <w:rPr>
          <w:rFonts w:ascii="Arial" w:hAnsi="Arial"/>
        </w:rPr>
        <w:sym w:font="Symbol" w:char="F0B1"/>
      </w:r>
      <w:r>
        <w:rPr>
          <w:rFonts w:ascii="Arial" w:hAnsi="Arial"/>
        </w:rPr>
        <w:t xml:space="preserve"> 2 cm,</w:t>
      </w:r>
    </w:p>
    <w:p w:rsidR="00AF25CD" w:rsidRDefault="00AF25CD" w:rsidP="00AF25CD">
      <w:pPr>
        <w:numPr>
          <w:ilvl w:val="0"/>
          <w:numId w:val="3"/>
        </w:numPr>
        <w:rPr>
          <w:rFonts w:ascii="Arial" w:hAnsi="Arial"/>
        </w:rPr>
      </w:pPr>
      <w:r>
        <w:rPr>
          <w:rFonts w:ascii="Arial" w:hAnsi="Arial"/>
        </w:rPr>
        <w:t xml:space="preserve">odchyłka w odległości ustawienia znaku od krawędzi jezdni utwardzonego pobocza lub pasa awaryjnego postoju, nie więcej niż </w:t>
      </w:r>
      <w:r>
        <w:rPr>
          <w:rFonts w:ascii="Arial" w:hAnsi="Arial"/>
        </w:rPr>
        <w:sym w:font="Symbol" w:char="F0B1"/>
      </w:r>
      <w:r>
        <w:rPr>
          <w:rFonts w:ascii="Arial" w:hAnsi="Arial"/>
        </w:rPr>
        <w:t xml:space="preserve"> 5 cm, przy zachowaniu minimalnej odległości umieszczenia znaku zgodnie z warunkami rozporządzenia Ministra Infrastruktury [25].</w:t>
      </w:r>
    </w:p>
    <w:p w:rsidR="00AF25CD" w:rsidRDefault="00AF25CD" w:rsidP="00AF25CD">
      <w:pPr>
        <w:spacing w:before="120"/>
        <w:rPr>
          <w:rFonts w:ascii="Arial" w:hAnsi="Arial"/>
        </w:rPr>
      </w:pPr>
    </w:p>
    <w:p w:rsidR="00AF25CD" w:rsidRDefault="00AF25CD" w:rsidP="00AF25CD">
      <w:pPr>
        <w:pStyle w:val="Nagwek2"/>
        <w:numPr>
          <w:ilvl w:val="12"/>
          <w:numId w:val="0"/>
        </w:numPr>
        <w:rPr>
          <w:rFonts w:ascii="Arial" w:hAnsi="Arial"/>
        </w:rPr>
      </w:pPr>
      <w:r>
        <w:rPr>
          <w:rFonts w:ascii="Arial" w:hAnsi="Arial"/>
        </w:rPr>
        <w:t>5.5. Połączenie tarczy znaku z konstrukcją wsporczą</w:t>
      </w:r>
    </w:p>
    <w:p w:rsidR="00AF25CD" w:rsidRDefault="00AF25CD" w:rsidP="00AF25CD">
      <w:pPr>
        <w:numPr>
          <w:ilvl w:val="12"/>
          <w:numId w:val="0"/>
        </w:numPr>
        <w:rPr>
          <w:rFonts w:ascii="Arial" w:hAnsi="Arial"/>
        </w:rPr>
      </w:pPr>
      <w:r>
        <w:rPr>
          <w:rFonts w:ascii="Arial" w:hAnsi="Arial"/>
        </w:rPr>
        <w:tab/>
        <w:t>Tarcza znaku musi być zamocowana do konstrukcji wsporczej w sposób uniemożliwiający jej przesunięcie lub obrót.</w:t>
      </w:r>
    </w:p>
    <w:p w:rsidR="00AF25CD" w:rsidRDefault="00AF25CD" w:rsidP="00AF25CD">
      <w:pPr>
        <w:numPr>
          <w:ilvl w:val="12"/>
          <w:numId w:val="0"/>
        </w:numPr>
        <w:rPr>
          <w:rFonts w:ascii="Arial" w:hAnsi="Arial"/>
        </w:rPr>
      </w:pPr>
      <w:r>
        <w:rPr>
          <w:rFonts w:ascii="Arial" w:hAnsi="Arial"/>
        </w:rPr>
        <w:tab/>
        <w:t>Materiał i sposób wykonania połączenia tarczy znaku z konstrukcją wsporczą musi umożliwiać, przy użyciu odpowiednich narzędzi, odłączenie tarczy znaku od tej konstrukcji przez cały okres użytkowania znaku.</w:t>
      </w:r>
    </w:p>
    <w:p w:rsidR="00AF25CD" w:rsidRDefault="00AF25CD" w:rsidP="00AF25CD">
      <w:pPr>
        <w:numPr>
          <w:ilvl w:val="12"/>
          <w:numId w:val="0"/>
        </w:numPr>
        <w:rPr>
          <w:rFonts w:ascii="Arial" w:hAnsi="Arial"/>
        </w:rPr>
      </w:pPr>
      <w:r>
        <w:rPr>
          <w:rFonts w:ascii="Arial" w:hAnsi="Arial"/>
        </w:rPr>
        <w:tab/>
        <w:t>Na drogach i obszarach, na których występują częste przypadki dewastacji znaków, zaleca się stosowanie elementów złącznych o konstrukcji uniemożliwiającej lub znacznie utrudniającej ich rozłączenie przez osoby niepowołane.</w:t>
      </w:r>
    </w:p>
    <w:p w:rsidR="00AF25CD" w:rsidRDefault="00AF25CD" w:rsidP="00AF25CD">
      <w:pPr>
        <w:numPr>
          <w:ilvl w:val="12"/>
          <w:numId w:val="0"/>
        </w:numPr>
        <w:rPr>
          <w:rFonts w:ascii="Arial" w:hAnsi="Arial"/>
        </w:rPr>
      </w:pPr>
      <w:r>
        <w:rPr>
          <w:rFonts w:ascii="Arial" w:hAnsi="Arial"/>
        </w:rPr>
        <w:lastRenderedPageBreak/>
        <w:tab/>
        <w:t>Nie dopuszcza się zamocowania znaku do konstrukcji wsporczej w sposób wymagający bezpośredniego przeprowadzenia śrub mocujących przez lico znaku.</w:t>
      </w:r>
    </w:p>
    <w:p w:rsidR="00AF25CD" w:rsidRDefault="00AF25CD" w:rsidP="00AF25CD">
      <w:pPr>
        <w:numPr>
          <w:ilvl w:val="12"/>
          <w:numId w:val="0"/>
        </w:numPr>
        <w:rPr>
          <w:rFonts w:ascii="Arial" w:hAnsi="Arial"/>
        </w:rPr>
      </w:pPr>
    </w:p>
    <w:p w:rsidR="00AF25CD" w:rsidRDefault="00AF25CD" w:rsidP="00AF25CD">
      <w:pPr>
        <w:pStyle w:val="Nagwek2"/>
        <w:numPr>
          <w:ilvl w:val="12"/>
          <w:numId w:val="0"/>
        </w:numPr>
        <w:rPr>
          <w:rFonts w:ascii="Arial" w:hAnsi="Arial"/>
        </w:rPr>
      </w:pPr>
      <w:r>
        <w:rPr>
          <w:rFonts w:ascii="Arial" w:hAnsi="Arial"/>
        </w:rPr>
        <w:t>5.6. Oznakowanie znaku</w:t>
      </w:r>
    </w:p>
    <w:p w:rsidR="00AF25CD" w:rsidRDefault="00AF25CD" w:rsidP="00AF25CD">
      <w:pPr>
        <w:pStyle w:val="NormalWeb"/>
        <w:numPr>
          <w:ilvl w:val="12"/>
          <w:numId w:val="0"/>
        </w:numPr>
        <w:spacing w:before="0" w:after="0"/>
        <w:jc w:val="both"/>
        <w:rPr>
          <w:rFonts w:ascii="Arial" w:hAnsi="Arial"/>
          <w:sz w:val="20"/>
        </w:rPr>
      </w:pPr>
      <w:r>
        <w:rPr>
          <w:rFonts w:ascii="Arial" w:hAnsi="Arial"/>
          <w:sz w:val="20"/>
        </w:rPr>
        <w:t>Każdy wykonany znak drogowy musi mieć na odwrocie naklejkę zawierającą następujące informacje:</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 xml:space="preserve">a)      numer i datę normy </w:t>
      </w:r>
      <w:proofErr w:type="spellStart"/>
      <w:r>
        <w:rPr>
          <w:rFonts w:ascii="Arial" w:hAnsi="Arial"/>
          <w:sz w:val="20"/>
        </w:rPr>
        <w:t>tj</w:t>
      </w:r>
      <w:proofErr w:type="spellEnd"/>
      <w:r>
        <w:rPr>
          <w:rFonts w:ascii="Arial" w:hAnsi="Arial"/>
          <w:sz w:val="20"/>
        </w:rPr>
        <w:t xml:space="preserve"> PN- EN 12899-1:2005 [16,17]</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b)      klasy istotnych właściwości wyrobu</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c)      miesiąc i dwie ostatnie cyfry roku produkcji</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 xml:space="preserve">d)      nazwę, znak handlowy i inne oznaczenia identyfikujące producenta </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e)      znak budowlany |”B”</w:t>
      </w:r>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 xml:space="preserve">f)       numer aprobaty technicznej </w:t>
      </w:r>
      <w:proofErr w:type="spellStart"/>
      <w:r>
        <w:rPr>
          <w:rFonts w:ascii="Arial" w:hAnsi="Arial"/>
          <w:sz w:val="20"/>
        </w:rPr>
        <w:t>IBDiM</w:t>
      </w:r>
      <w:proofErr w:type="spellEnd"/>
    </w:p>
    <w:p w:rsidR="00AF25CD" w:rsidRDefault="00AF25CD" w:rsidP="00AF25CD">
      <w:pPr>
        <w:pStyle w:val="NormalWeb"/>
        <w:numPr>
          <w:ilvl w:val="12"/>
          <w:numId w:val="0"/>
        </w:numPr>
        <w:tabs>
          <w:tab w:val="left" w:pos="720"/>
        </w:tabs>
        <w:spacing w:before="0" w:after="0"/>
        <w:ind w:left="360"/>
        <w:jc w:val="both"/>
        <w:rPr>
          <w:rFonts w:ascii="Arial" w:hAnsi="Arial"/>
          <w:sz w:val="20"/>
        </w:rPr>
      </w:pPr>
      <w:r>
        <w:rPr>
          <w:rFonts w:ascii="Arial" w:hAnsi="Arial"/>
          <w:sz w:val="20"/>
        </w:rPr>
        <w:t>g)      numer certyfikatu zgodności i numer jednostki certyfikującej.</w:t>
      </w:r>
    </w:p>
    <w:p w:rsidR="00AF25CD" w:rsidRDefault="00AF25CD" w:rsidP="00AF25CD">
      <w:pPr>
        <w:pStyle w:val="NormalWeb"/>
        <w:numPr>
          <w:ilvl w:val="12"/>
          <w:numId w:val="0"/>
        </w:numPr>
        <w:spacing w:before="0" w:after="0"/>
        <w:jc w:val="both"/>
        <w:rPr>
          <w:rFonts w:ascii="Arial" w:hAnsi="Arial"/>
          <w:sz w:val="20"/>
        </w:rPr>
      </w:pPr>
      <w:r>
        <w:rPr>
          <w:rFonts w:ascii="Arial" w:hAnsi="Arial"/>
          <w:sz w:val="20"/>
        </w:rPr>
        <w:t> </w:t>
      </w:r>
    </w:p>
    <w:p w:rsidR="00AF25CD" w:rsidRDefault="00AF25CD" w:rsidP="00AF25CD">
      <w:pPr>
        <w:pStyle w:val="NormalWeb"/>
        <w:numPr>
          <w:ilvl w:val="12"/>
          <w:numId w:val="0"/>
        </w:numPr>
        <w:spacing w:before="0" w:after="0"/>
        <w:jc w:val="both"/>
        <w:rPr>
          <w:rFonts w:ascii="Arial" w:hAnsi="Arial"/>
          <w:sz w:val="20"/>
        </w:rPr>
      </w:pPr>
      <w:r>
        <w:rPr>
          <w:rFonts w:ascii="Arial" w:hAnsi="Arial"/>
          <w:sz w:val="20"/>
        </w:rPr>
        <w:t xml:space="preserve">Oznakowanie powinno być wykonane w sposób trwały i wyraźny, czytelny z normalnej odległości widzenia a całkowita powierzchnia naklejki nie była większa niż 30 cm2. Czytelność i trwałość cechy na tylnej stronie tarczy znaku nie powinna być niższa od wymaganej trwałości znaku. Naklejkę należy wykonać z folii </w:t>
      </w:r>
      <w:proofErr w:type="spellStart"/>
      <w:r>
        <w:rPr>
          <w:rFonts w:ascii="Arial" w:hAnsi="Arial"/>
          <w:sz w:val="20"/>
        </w:rPr>
        <w:t>nieodblaskowej</w:t>
      </w:r>
      <w:proofErr w:type="spellEnd"/>
    </w:p>
    <w:p w:rsidR="00AF25CD" w:rsidRDefault="00AF25CD" w:rsidP="00AF25CD">
      <w:pPr>
        <w:pStyle w:val="NormalWeb"/>
        <w:numPr>
          <w:ilvl w:val="12"/>
          <w:numId w:val="0"/>
        </w:numPr>
        <w:spacing w:before="0" w:after="0"/>
        <w:ind w:firstLine="708"/>
        <w:jc w:val="both"/>
        <w:rPr>
          <w:rFonts w:ascii="Arial" w:hAnsi="Arial"/>
          <w:sz w:val="20"/>
        </w:rPr>
      </w:pPr>
      <w:r>
        <w:rPr>
          <w:rFonts w:ascii="Arial" w:hAnsi="Arial"/>
          <w:sz w:val="20"/>
        </w:rPr>
        <w:t> </w:t>
      </w:r>
    </w:p>
    <w:p w:rsidR="00AF25CD" w:rsidRDefault="00AF25CD" w:rsidP="00AF25CD">
      <w:pPr>
        <w:pStyle w:val="Nagwek1"/>
        <w:numPr>
          <w:ilvl w:val="12"/>
          <w:numId w:val="0"/>
        </w:numPr>
        <w:rPr>
          <w:rFonts w:ascii="Arial" w:hAnsi="Arial"/>
        </w:rPr>
      </w:pPr>
      <w:bookmarkStart w:id="14" w:name="_Toc425833585"/>
      <w:r>
        <w:rPr>
          <w:rFonts w:ascii="Arial" w:hAnsi="Arial"/>
        </w:rPr>
        <w:t>6.  kontrola jakości robót</w:t>
      </w:r>
      <w:bookmarkEnd w:id="14"/>
    </w:p>
    <w:p w:rsidR="00AF25CD" w:rsidRDefault="00AF25CD" w:rsidP="00AF25CD">
      <w:pPr>
        <w:pStyle w:val="Nagwek2"/>
        <w:numPr>
          <w:ilvl w:val="12"/>
          <w:numId w:val="0"/>
        </w:numPr>
        <w:rPr>
          <w:rFonts w:ascii="Arial" w:hAnsi="Arial"/>
        </w:rPr>
      </w:pPr>
      <w:r>
        <w:rPr>
          <w:rFonts w:ascii="Arial" w:hAnsi="Arial"/>
        </w:rPr>
        <w:t>6.1. Ogólne zasady kontroli jakości robót</w:t>
      </w:r>
    </w:p>
    <w:p w:rsidR="00AF25CD" w:rsidRDefault="00AF25CD" w:rsidP="00AF25CD">
      <w:pPr>
        <w:numPr>
          <w:ilvl w:val="12"/>
          <w:numId w:val="0"/>
        </w:numPr>
        <w:rPr>
          <w:rFonts w:ascii="Arial" w:hAnsi="Arial"/>
        </w:rPr>
      </w:pPr>
      <w:r>
        <w:rPr>
          <w:rFonts w:ascii="Arial" w:hAnsi="Arial"/>
        </w:rPr>
        <w:tab/>
        <w:t>Ogólne zasady kontroli jakości robót podano w OST D-M-00.00.00 „Wymagania ogólne” pkt 6.</w:t>
      </w:r>
    </w:p>
    <w:p w:rsidR="00AF25CD" w:rsidRDefault="00AF25CD" w:rsidP="00AF25CD">
      <w:pPr>
        <w:pStyle w:val="Nagwek2"/>
        <w:numPr>
          <w:ilvl w:val="12"/>
          <w:numId w:val="0"/>
        </w:numPr>
        <w:rPr>
          <w:rFonts w:ascii="Arial" w:hAnsi="Arial"/>
        </w:rPr>
      </w:pPr>
      <w:r>
        <w:rPr>
          <w:rFonts w:ascii="Arial" w:hAnsi="Arial"/>
        </w:rPr>
        <w:t>6.2. Badania materiałów do wykonania fundamentów betonowych</w:t>
      </w:r>
    </w:p>
    <w:p w:rsidR="00AF25CD" w:rsidRDefault="00AF25CD" w:rsidP="00AF25CD">
      <w:pPr>
        <w:numPr>
          <w:ilvl w:val="12"/>
          <w:numId w:val="0"/>
        </w:numPr>
        <w:rPr>
          <w:rFonts w:ascii="Arial" w:hAnsi="Arial"/>
        </w:rPr>
      </w:pPr>
      <w:r>
        <w:rPr>
          <w:rFonts w:ascii="Arial" w:hAnsi="Aria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AF25CD" w:rsidRDefault="00AF25CD" w:rsidP="00AF25CD">
      <w:pPr>
        <w:pStyle w:val="Nagwek2"/>
        <w:numPr>
          <w:ilvl w:val="12"/>
          <w:numId w:val="0"/>
        </w:numPr>
        <w:rPr>
          <w:rFonts w:ascii="Arial" w:hAnsi="Arial"/>
        </w:rPr>
      </w:pPr>
      <w:r>
        <w:rPr>
          <w:rFonts w:ascii="Arial" w:hAnsi="Arial"/>
        </w:rPr>
        <w:t>6.3. Badania w czasie wykonywania robót</w:t>
      </w:r>
    </w:p>
    <w:p w:rsidR="00AF25CD" w:rsidRDefault="00AF25CD" w:rsidP="00AF25CD">
      <w:pPr>
        <w:pStyle w:val="StylIwony"/>
        <w:numPr>
          <w:ilvl w:val="12"/>
          <w:numId w:val="0"/>
        </w:numPr>
        <w:spacing w:before="0" w:after="0"/>
        <w:rPr>
          <w:rFonts w:ascii="Arial" w:hAnsi="Arial"/>
          <w:sz w:val="20"/>
        </w:rPr>
      </w:pPr>
      <w:r>
        <w:rPr>
          <w:rFonts w:ascii="Arial" w:hAnsi="Arial"/>
          <w:b/>
          <w:sz w:val="20"/>
        </w:rPr>
        <w:t xml:space="preserve">6.3.1. </w:t>
      </w:r>
      <w:r>
        <w:rPr>
          <w:rFonts w:ascii="Arial" w:hAnsi="Arial"/>
          <w:sz w:val="20"/>
        </w:rPr>
        <w:t>Badania materiałów w czasie wykonywania robót</w:t>
      </w:r>
    </w:p>
    <w:p w:rsidR="00AF25CD" w:rsidRDefault="00AF25CD" w:rsidP="00AF25CD">
      <w:pPr>
        <w:pStyle w:val="StylIwony"/>
        <w:numPr>
          <w:ilvl w:val="12"/>
          <w:numId w:val="0"/>
        </w:numPr>
        <w:spacing w:after="0"/>
        <w:rPr>
          <w:rFonts w:ascii="Arial" w:hAnsi="Arial"/>
          <w:sz w:val="20"/>
        </w:rPr>
      </w:pPr>
      <w:r>
        <w:rPr>
          <w:rFonts w:ascii="Arial" w:hAnsi="Arial"/>
          <w:sz w:val="20"/>
        </w:rPr>
        <w:tab/>
        <w:t>Wszystkie materiały dostarczone na budowę z aprobatą techniczną lub z deklaracją zgodności wydaną przez producenta powinny być sprawdzone w zakresie powierzchni wyrobu i jego wymiarów.</w:t>
      </w:r>
    </w:p>
    <w:p w:rsidR="00AF25CD" w:rsidRDefault="00AF25CD" w:rsidP="00AF25CD">
      <w:pPr>
        <w:pStyle w:val="StylIwony"/>
        <w:numPr>
          <w:ilvl w:val="12"/>
          <w:numId w:val="0"/>
        </w:numPr>
        <w:spacing w:before="0" w:after="0"/>
        <w:rPr>
          <w:rFonts w:ascii="Arial" w:hAnsi="Arial"/>
          <w:sz w:val="20"/>
        </w:rPr>
      </w:pPr>
      <w:r>
        <w:rPr>
          <w:rFonts w:ascii="Arial" w:hAnsi="Arial"/>
          <w:sz w:val="20"/>
        </w:rPr>
        <w:tab/>
        <w:t xml:space="preserve">W przypadkach budzących wątpliwości można zlecić uprawnionej jednostce zbadanie właściwości dostarczonych wyrobów i materiałów w zakresie wymagań podanych w punkcie 2.  </w:t>
      </w:r>
    </w:p>
    <w:p w:rsidR="00AF25CD" w:rsidRDefault="00AF25CD" w:rsidP="00AF25CD">
      <w:pPr>
        <w:pStyle w:val="StylIwony"/>
        <w:numPr>
          <w:ilvl w:val="12"/>
          <w:numId w:val="0"/>
        </w:numPr>
        <w:rPr>
          <w:rFonts w:ascii="Arial" w:hAnsi="Arial"/>
          <w:sz w:val="20"/>
        </w:rPr>
      </w:pPr>
      <w:r>
        <w:rPr>
          <w:rFonts w:ascii="Arial" w:hAnsi="Arial"/>
          <w:b/>
          <w:sz w:val="20"/>
        </w:rPr>
        <w:t xml:space="preserve">6.3.2. </w:t>
      </w:r>
      <w:r>
        <w:rPr>
          <w:rFonts w:ascii="Arial" w:hAnsi="Arial"/>
          <w:sz w:val="20"/>
        </w:rPr>
        <w:t>Kontrola w czasie wykonywania robót</w:t>
      </w:r>
    </w:p>
    <w:p w:rsidR="00AF25CD" w:rsidRDefault="00AF25CD" w:rsidP="00AF25CD">
      <w:pPr>
        <w:pStyle w:val="StylIwony"/>
        <w:numPr>
          <w:ilvl w:val="12"/>
          <w:numId w:val="0"/>
        </w:numPr>
        <w:spacing w:before="0" w:after="0"/>
        <w:rPr>
          <w:rFonts w:ascii="Arial" w:hAnsi="Arial"/>
          <w:sz w:val="20"/>
        </w:rPr>
      </w:pPr>
      <w:r>
        <w:rPr>
          <w:rFonts w:ascii="Arial" w:hAnsi="Arial"/>
          <w:sz w:val="20"/>
        </w:rPr>
        <w:tab/>
        <w:t>W czasie wykonywania robót należy sprawdzać:</w:t>
      </w:r>
    </w:p>
    <w:p w:rsidR="00AF25CD" w:rsidRDefault="00AF25CD" w:rsidP="00AF25CD">
      <w:pPr>
        <w:pStyle w:val="StylIwony"/>
        <w:numPr>
          <w:ilvl w:val="0"/>
          <w:numId w:val="3"/>
        </w:numPr>
        <w:spacing w:before="0" w:after="0"/>
        <w:rPr>
          <w:rFonts w:ascii="Arial" w:hAnsi="Arial"/>
          <w:sz w:val="20"/>
        </w:rPr>
      </w:pPr>
      <w:r>
        <w:rPr>
          <w:rFonts w:ascii="Arial" w:hAnsi="Arial"/>
          <w:sz w:val="20"/>
        </w:rPr>
        <w:t>zgodność wykonania znaków pionowych z dokumentacją projektową (lokalizacja, wymiary, wysokość zamocowania znaków),</w:t>
      </w:r>
    </w:p>
    <w:p w:rsidR="00AF25CD" w:rsidRDefault="00AF25CD" w:rsidP="00AF25CD">
      <w:pPr>
        <w:pStyle w:val="StylIwony"/>
        <w:numPr>
          <w:ilvl w:val="0"/>
          <w:numId w:val="3"/>
        </w:numPr>
        <w:spacing w:before="0" w:after="0"/>
        <w:rPr>
          <w:rFonts w:ascii="Arial" w:hAnsi="Arial"/>
          <w:sz w:val="20"/>
        </w:rPr>
      </w:pPr>
      <w:r>
        <w:rPr>
          <w:rFonts w:ascii="Arial" w:hAnsi="Arial"/>
          <w:sz w:val="20"/>
        </w:rPr>
        <w:t>zachowanie dopuszczalnych odchyłek wymiarów, zgodnie z punktem 2 i 5,</w:t>
      </w:r>
    </w:p>
    <w:p w:rsidR="00AF25CD" w:rsidRDefault="00AF25CD" w:rsidP="00AF25CD">
      <w:pPr>
        <w:pStyle w:val="StylIwony"/>
        <w:numPr>
          <w:ilvl w:val="0"/>
          <w:numId w:val="3"/>
        </w:numPr>
        <w:spacing w:before="0" w:after="0"/>
        <w:rPr>
          <w:rFonts w:ascii="Arial" w:hAnsi="Arial"/>
          <w:sz w:val="20"/>
        </w:rPr>
      </w:pPr>
      <w:r>
        <w:rPr>
          <w:rFonts w:ascii="Arial" w:hAnsi="Arial"/>
          <w:sz w:val="20"/>
        </w:rPr>
        <w:t>prawidłowość wykonania wykopów pod konstrukcje wsporcze, zgodnie z punktem 5.3,</w:t>
      </w:r>
    </w:p>
    <w:p w:rsidR="00AF25CD" w:rsidRDefault="00AF25CD" w:rsidP="00AF25CD">
      <w:pPr>
        <w:pStyle w:val="StylIwony"/>
        <w:numPr>
          <w:ilvl w:val="0"/>
          <w:numId w:val="3"/>
        </w:numPr>
        <w:spacing w:before="0" w:after="0"/>
        <w:rPr>
          <w:rFonts w:ascii="Arial" w:hAnsi="Arial"/>
          <w:sz w:val="20"/>
        </w:rPr>
      </w:pPr>
      <w:r>
        <w:rPr>
          <w:rFonts w:ascii="Arial" w:hAnsi="Arial"/>
          <w:sz w:val="20"/>
        </w:rPr>
        <w:t>poprawność wykonania fundamentów pod słupki zgodnie z punktem 5.3,</w:t>
      </w:r>
    </w:p>
    <w:p w:rsidR="00AF25CD" w:rsidRDefault="00AF25CD" w:rsidP="00AF25CD">
      <w:pPr>
        <w:pStyle w:val="StylIwony"/>
        <w:numPr>
          <w:ilvl w:val="0"/>
          <w:numId w:val="3"/>
        </w:numPr>
        <w:spacing w:before="0" w:after="0"/>
        <w:rPr>
          <w:rFonts w:ascii="Arial" w:hAnsi="Arial"/>
          <w:sz w:val="20"/>
        </w:rPr>
      </w:pPr>
      <w:r>
        <w:rPr>
          <w:rFonts w:ascii="Arial" w:hAnsi="Arial"/>
          <w:sz w:val="20"/>
        </w:rPr>
        <w:t>poprawność ustawienia słupków i konstrukcji wsporczych, zgodnie z punktem 5.4.</w:t>
      </w:r>
    </w:p>
    <w:p w:rsidR="00AF25CD" w:rsidRDefault="00AF25CD" w:rsidP="00AF25CD">
      <w:pPr>
        <w:pStyle w:val="StylIwony"/>
        <w:spacing w:before="0" w:after="0"/>
        <w:rPr>
          <w:rFonts w:ascii="Arial" w:hAnsi="Arial"/>
          <w:sz w:val="20"/>
        </w:rPr>
      </w:pPr>
      <w:r>
        <w:rPr>
          <w:rFonts w:ascii="Arial" w:hAnsi="Arial"/>
          <w:sz w:val="20"/>
        </w:rPr>
        <w:tab/>
        <w:t>W przypadku wykonania spawanych złącz elementów konstrukcji wsporczych:</w:t>
      </w:r>
    </w:p>
    <w:p w:rsidR="00AF25CD" w:rsidRDefault="00AF25CD" w:rsidP="00AF25CD">
      <w:pPr>
        <w:pStyle w:val="StylIwony"/>
        <w:numPr>
          <w:ilvl w:val="0"/>
          <w:numId w:val="3"/>
        </w:numPr>
        <w:spacing w:before="0" w:after="0"/>
        <w:rPr>
          <w:rFonts w:ascii="Arial" w:hAnsi="Arial"/>
          <w:sz w:val="20"/>
        </w:rPr>
      </w:pPr>
      <w:r>
        <w:rPr>
          <w:rFonts w:ascii="Arial" w:hAnsi="Arial"/>
          <w:sz w:val="20"/>
        </w:rPr>
        <w:t>przed oględzinami, spoinę i przylegające do niej elementy łączone  (od 10 do 20 mm z każdej strony) należy dokładnie oczyścić z zanieczyszczeń utrudniających prowadzenie obserwacji i pomiarów,</w:t>
      </w:r>
    </w:p>
    <w:p w:rsidR="00AF25CD" w:rsidRDefault="00AF25CD" w:rsidP="00AF25CD">
      <w:pPr>
        <w:pStyle w:val="StylIwony"/>
        <w:numPr>
          <w:ilvl w:val="0"/>
          <w:numId w:val="3"/>
        </w:numPr>
        <w:spacing w:before="0" w:after="0"/>
        <w:rPr>
          <w:rFonts w:ascii="Arial" w:hAnsi="Arial"/>
          <w:sz w:val="20"/>
        </w:rPr>
      </w:pPr>
      <w:r>
        <w:rPr>
          <w:rFonts w:ascii="Arial" w:hAnsi="Arial"/>
          <w:sz w:val="20"/>
        </w:rPr>
        <w:t>oględziny złączy należy przeprowadzić wizualnie z ewentualnym użyciem lupy o powiększeniu od 2 do 4 razy; do pomiarów spoin powinny być stosowane wzorniki, przymiary oraz uniwersalne spoinomierze,</w:t>
      </w:r>
    </w:p>
    <w:p w:rsidR="00AF25CD" w:rsidRDefault="00AF25CD" w:rsidP="00AF25CD">
      <w:pPr>
        <w:pStyle w:val="StylIwony"/>
        <w:numPr>
          <w:ilvl w:val="0"/>
          <w:numId w:val="3"/>
        </w:numPr>
        <w:spacing w:before="0" w:after="0"/>
        <w:rPr>
          <w:rFonts w:ascii="Arial" w:hAnsi="Arial"/>
          <w:sz w:val="20"/>
        </w:rPr>
      </w:pPr>
      <w:r>
        <w:rPr>
          <w:rFonts w:ascii="Arial" w:hAnsi="Arial"/>
          <w:sz w:val="20"/>
        </w:rPr>
        <w:t>w przypadkach wątpliwych można zlecić uprawnionej jednostce zbadanie wytrzymałości zmęczeniowej spoin,</w:t>
      </w:r>
    </w:p>
    <w:p w:rsidR="00AF25CD" w:rsidRDefault="00AF25CD" w:rsidP="00AF25CD">
      <w:pPr>
        <w:pStyle w:val="StylIwony"/>
        <w:numPr>
          <w:ilvl w:val="0"/>
          <w:numId w:val="3"/>
        </w:numPr>
        <w:spacing w:before="0" w:after="0"/>
        <w:rPr>
          <w:rFonts w:ascii="Times New Roman" w:hAnsi="Times New Roman"/>
          <w:sz w:val="20"/>
        </w:rPr>
      </w:pPr>
      <w:r>
        <w:rPr>
          <w:rFonts w:ascii="Arial" w:hAnsi="Arial"/>
          <w:sz w:val="20"/>
        </w:rPr>
        <w:t>złącza o wadach większych niż dopuszczalne, określone w punkcie 5.4, powinny być naprawione powtórnym spawaniem.</w:t>
      </w:r>
    </w:p>
    <w:p w:rsidR="00AF25CD" w:rsidRDefault="00AF25CD" w:rsidP="00AF25CD">
      <w:pPr>
        <w:pStyle w:val="Nagwek1"/>
      </w:pPr>
      <w:bookmarkStart w:id="15" w:name="_Toc425833586"/>
      <w:bookmarkStart w:id="16" w:name="_Toc425562419"/>
      <w:r>
        <w:t>7. OBMIAR ROBÓT</w:t>
      </w:r>
      <w:bookmarkEnd w:id="15"/>
      <w:bookmarkEnd w:id="16"/>
    </w:p>
    <w:p w:rsidR="00AF25CD" w:rsidRDefault="00AF25CD" w:rsidP="00AF25CD">
      <w:pPr>
        <w:pStyle w:val="Nagwek2"/>
        <w:rPr>
          <w:rFonts w:ascii="Arial" w:hAnsi="Arial"/>
        </w:rPr>
      </w:pPr>
      <w:r>
        <w:rPr>
          <w:rFonts w:ascii="Arial" w:hAnsi="Arial"/>
        </w:rPr>
        <w:t>7.1. Ogólne zasady obmiaru robót</w:t>
      </w:r>
    </w:p>
    <w:p w:rsidR="00AF25CD" w:rsidRDefault="00AF25CD" w:rsidP="00AF25CD">
      <w:pPr>
        <w:pStyle w:val="StylIwony"/>
        <w:spacing w:before="0" w:after="0"/>
        <w:rPr>
          <w:rFonts w:ascii="Arial" w:hAnsi="Arial"/>
          <w:sz w:val="20"/>
        </w:rPr>
      </w:pPr>
      <w:r>
        <w:rPr>
          <w:rFonts w:ascii="Arial" w:hAnsi="Arial"/>
          <w:sz w:val="20"/>
        </w:rPr>
        <w:tab/>
        <w:t>Ogólne zasady obmiaru robót podano w OST D-M-00.00.00 „Wymagania ogólne” pkt 7.</w:t>
      </w:r>
    </w:p>
    <w:p w:rsidR="00AF25CD" w:rsidRDefault="00AF25CD" w:rsidP="00AF25CD">
      <w:pPr>
        <w:pStyle w:val="Nagwek2"/>
        <w:rPr>
          <w:rFonts w:ascii="Arial" w:hAnsi="Arial"/>
        </w:rPr>
      </w:pPr>
      <w:r>
        <w:rPr>
          <w:rFonts w:ascii="Arial" w:hAnsi="Arial"/>
        </w:rPr>
        <w:lastRenderedPageBreak/>
        <w:t>7.2. Jednostka obmiarowa</w:t>
      </w:r>
    </w:p>
    <w:p w:rsidR="00AF25CD" w:rsidRDefault="00AF25CD" w:rsidP="00AF25CD">
      <w:pPr>
        <w:pStyle w:val="StylIwony"/>
        <w:spacing w:before="0" w:after="0"/>
        <w:ind w:firstLine="709"/>
        <w:rPr>
          <w:rFonts w:ascii="Arial" w:hAnsi="Arial"/>
          <w:sz w:val="20"/>
        </w:rPr>
      </w:pPr>
      <w:r>
        <w:rPr>
          <w:rFonts w:ascii="Arial" w:hAnsi="Arial"/>
          <w:sz w:val="20"/>
        </w:rPr>
        <w:t>Jednostkami obmiarowymi są:</w:t>
      </w:r>
    </w:p>
    <w:p w:rsidR="00AF25CD" w:rsidRDefault="00AF25CD" w:rsidP="00AF25CD">
      <w:pPr>
        <w:pStyle w:val="StylIwony"/>
        <w:numPr>
          <w:ilvl w:val="0"/>
          <w:numId w:val="4"/>
        </w:numPr>
        <w:spacing w:before="0" w:after="0"/>
        <w:rPr>
          <w:rFonts w:ascii="Arial" w:hAnsi="Arial"/>
          <w:sz w:val="20"/>
        </w:rPr>
      </w:pPr>
      <w:proofErr w:type="spellStart"/>
      <w:r>
        <w:rPr>
          <w:rFonts w:ascii="Arial" w:hAnsi="Arial"/>
          <w:sz w:val="20"/>
        </w:rPr>
        <w:t>szt</w:t>
      </w:r>
      <w:proofErr w:type="spellEnd"/>
      <w:r>
        <w:rPr>
          <w:rFonts w:ascii="Arial" w:hAnsi="Arial"/>
          <w:sz w:val="20"/>
        </w:rPr>
        <w:t xml:space="preserve"> (sztuka) dla znaków konwencjonalnych i konstrukcji wsporczych (wysięgników)</w:t>
      </w:r>
    </w:p>
    <w:p w:rsidR="00AF25CD" w:rsidRDefault="00AF25CD" w:rsidP="00AF25CD">
      <w:pPr>
        <w:pStyle w:val="StylIwony"/>
        <w:numPr>
          <w:ilvl w:val="0"/>
          <w:numId w:val="4"/>
        </w:numPr>
        <w:spacing w:before="0" w:after="0"/>
        <w:rPr>
          <w:rFonts w:ascii="Arial" w:hAnsi="Arial"/>
          <w:sz w:val="20"/>
        </w:rPr>
      </w:pPr>
      <w:r>
        <w:rPr>
          <w:rFonts w:ascii="Arial" w:hAnsi="Arial"/>
          <w:sz w:val="20"/>
        </w:rPr>
        <w:t>m (metr) dla konstrukcji wsporczych (słupków)</w:t>
      </w:r>
    </w:p>
    <w:p w:rsidR="00AF25CD" w:rsidRDefault="00AF25CD" w:rsidP="00AF25CD">
      <w:pPr>
        <w:pStyle w:val="StylIwony"/>
        <w:numPr>
          <w:ilvl w:val="0"/>
          <w:numId w:val="4"/>
        </w:numPr>
        <w:spacing w:before="0" w:after="0"/>
        <w:rPr>
          <w:rFonts w:ascii="Arial" w:hAnsi="Arial"/>
          <w:sz w:val="20"/>
        </w:rPr>
      </w:pPr>
      <w:r>
        <w:rPr>
          <w:rFonts w:ascii="Arial" w:hAnsi="Arial"/>
          <w:sz w:val="20"/>
        </w:rPr>
        <w:t>m</w:t>
      </w:r>
      <w:r>
        <w:rPr>
          <w:rFonts w:ascii="Arial" w:hAnsi="Arial"/>
          <w:sz w:val="20"/>
          <w:vertAlign w:val="superscript"/>
        </w:rPr>
        <w:t>2</w:t>
      </w:r>
      <w:r>
        <w:rPr>
          <w:rFonts w:ascii="Arial" w:hAnsi="Arial"/>
          <w:sz w:val="20"/>
        </w:rPr>
        <w:t xml:space="preserve"> (metr kwadratowy) powierzchni tablic dla znaków pozostałych.</w:t>
      </w:r>
    </w:p>
    <w:p w:rsidR="00AF25CD" w:rsidRDefault="00AF25CD" w:rsidP="00AF25CD">
      <w:pPr>
        <w:pStyle w:val="Nagwek1"/>
        <w:rPr>
          <w:rFonts w:ascii="Arial" w:hAnsi="Arial"/>
        </w:rPr>
      </w:pPr>
      <w:bookmarkStart w:id="17" w:name="_Toc425833587"/>
      <w:bookmarkStart w:id="18" w:name="_Toc425562420"/>
      <w:r>
        <w:rPr>
          <w:rFonts w:ascii="Arial" w:hAnsi="Arial"/>
        </w:rPr>
        <w:t>8. ODBIÓR ROBÓT</w:t>
      </w:r>
      <w:bookmarkEnd w:id="17"/>
      <w:bookmarkEnd w:id="18"/>
    </w:p>
    <w:p w:rsidR="00AF25CD" w:rsidRDefault="00AF25CD" w:rsidP="00AF25CD">
      <w:pPr>
        <w:pStyle w:val="Nagwek2"/>
        <w:rPr>
          <w:rFonts w:ascii="Arial" w:hAnsi="Arial"/>
        </w:rPr>
      </w:pPr>
      <w:r>
        <w:rPr>
          <w:rFonts w:ascii="Arial" w:hAnsi="Arial"/>
        </w:rPr>
        <w:t>8.1. Ogólne zasady odbioru robót</w:t>
      </w:r>
    </w:p>
    <w:p w:rsidR="00AF25CD" w:rsidRDefault="00AF25CD" w:rsidP="00AF25CD">
      <w:pPr>
        <w:pStyle w:val="StylIwony"/>
        <w:spacing w:before="0" w:after="0"/>
        <w:rPr>
          <w:rFonts w:ascii="Arial" w:hAnsi="Arial"/>
          <w:sz w:val="20"/>
        </w:rPr>
      </w:pPr>
      <w:r>
        <w:rPr>
          <w:rFonts w:ascii="Arial" w:hAnsi="Arial"/>
          <w:sz w:val="20"/>
        </w:rPr>
        <w:tab/>
        <w:t>Ogólne zasady odbioru robót podano w OST D-M-00.00.00 „Wymagania ogólne” pkt 8.</w:t>
      </w:r>
    </w:p>
    <w:p w:rsidR="00AF25CD" w:rsidRDefault="00AF25CD" w:rsidP="00AF25CD">
      <w:pPr>
        <w:rPr>
          <w:rFonts w:ascii="Arial" w:hAnsi="Arial"/>
        </w:rPr>
      </w:pPr>
      <w:r>
        <w:rPr>
          <w:rFonts w:ascii="Arial" w:hAnsi="Arial"/>
        </w:rPr>
        <w:tab/>
        <w:t>Roboty uznaje się za wykonane zgodnie z dokumentacją projektową, SST i wymaganiami Inżyniera, jeżeli wszystkie pomiary i badania z zachowaniem tolerancji wg pkt 6, dały wyniki pozytywne.</w:t>
      </w:r>
    </w:p>
    <w:p w:rsidR="00AF25CD" w:rsidRDefault="00AF25CD" w:rsidP="00AF25CD">
      <w:pPr>
        <w:pStyle w:val="Nagwek2"/>
        <w:rPr>
          <w:rFonts w:ascii="Arial" w:hAnsi="Arial"/>
        </w:rPr>
      </w:pPr>
      <w:r>
        <w:rPr>
          <w:rFonts w:ascii="Arial" w:hAnsi="Arial"/>
        </w:rPr>
        <w:t>8.2. Odbiór ostateczny</w:t>
      </w:r>
    </w:p>
    <w:p w:rsidR="00AF25CD" w:rsidRDefault="00AF25CD" w:rsidP="00AF25CD">
      <w:pPr>
        <w:rPr>
          <w:rFonts w:ascii="Arial" w:hAnsi="Arial"/>
        </w:rPr>
      </w:pPr>
      <w:r>
        <w:rPr>
          <w:rFonts w:ascii="Arial" w:hAnsi="Arial"/>
        </w:rPr>
        <w:tab/>
        <w:t>Odbiór robót oznakowania pionowego dokonywany jest na zasadzie odbioru ostatecznego.</w:t>
      </w:r>
    </w:p>
    <w:p w:rsidR="00AF25CD" w:rsidRDefault="00AF25CD" w:rsidP="00AF25CD">
      <w:pPr>
        <w:rPr>
          <w:rFonts w:ascii="Arial" w:hAnsi="Arial"/>
        </w:rPr>
      </w:pPr>
      <w:r>
        <w:rPr>
          <w:rFonts w:ascii="Arial" w:hAnsi="Arial"/>
        </w:rPr>
        <w:tab/>
        <w:t>Odbiór ostateczny powinien być dokonany po całkowitym zakończeniu robót, na podstawie wyników pomiarów i badań jakościowych określonych w punktach 2 i 5.</w:t>
      </w:r>
    </w:p>
    <w:p w:rsidR="00AF25CD" w:rsidRDefault="00AF25CD" w:rsidP="00AF25CD">
      <w:pPr>
        <w:pStyle w:val="Nagwek2"/>
        <w:rPr>
          <w:rFonts w:ascii="Arial" w:hAnsi="Arial"/>
        </w:rPr>
      </w:pPr>
      <w:r>
        <w:rPr>
          <w:rFonts w:ascii="Arial" w:hAnsi="Arial"/>
        </w:rPr>
        <w:t>8.3. Odbiór pogwarancyjny</w:t>
      </w:r>
    </w:p>
    <w:p w:rsidR="00AF25CD" w:rsidRDefault="00AF25CD" w:rsidP="00AF25CD">
      <w:pPr>
        <w:rPr>
          <w:rFonts w:ascii="Arial" w:hAnsi="Arial"/>
        </w:rPr>
      </w:pPr>
      <w:r>
        <w:rPr>
          <w:rFonts w:ascii="Arial" w:hAnsi="Arial"/>
        </w:rPr>
        <w:tab/>
        <w:t>Odbioru pogwarancyjnego należy dokonać po upływie okresu gwarancyjnego, ustalonego w kontrakcie.</w:t>
      </w:r>
    </w:p>
    <w:p w:rsidR="00AF25CD" w:rsidRDefault="00AF25CD" w:rsidP="00AF25CD">
      <w:pPr>
        <w:pStyle w:val="Nagwek1"/>
        <w:rPr>
          <w:rFonts w:ascii="Arial" w:hAnsi="Arial"/>
        </w:rPr>
      </w:pPr>
      <w:bookmarkStart w:id="19" w:name="_Toc425833588"/>
      <w:r>
        <w:rPr>
          <w:rFonts w:ascii="Arial" w:hAnsi="Arial"/>
        </w:rPr>
        <w:t>9. podstawa płatności</w:t>
      </w:r>
      <w:bookmarkEnd w:id="19"/>
    </w:p>
    <w:p w:rsidR="00AF25CD" w:rsidRDefault="00AF25CD" w:rsidP="00AF25CD">
      <w:pPr>
        <w:pStyle w:val="Nagwek2"/>
        <w:rPr>
          <w:rFonts w:ascii="Arial" w:hAnsi="Arial"/>
        </w:rPr>
      </w:pPr>
      <w:r>
        <w:rPr>
          <w:rFonts w:ascii="Arial" w:hAnsi="Arial"/>
        </w:rPr>
        <w:t>9.1. Ogólne ustalenia dotyczące podstawy płatności</w:t>
      </w:r>
    </w:p>
    <w:p w:rsidR="00AF25CD" w:rsidRDefault="00AF25CD" w:rsidP="00AF25CD">
      <w:pPr>
        <w:rPr>
          <w:rFonts w:ascii="Arial" w:hAnsi="Arial"/>
        </w:rPr>
      </w:pPr>
      <w:r>
        <w:rPr>
          <w:rFonts w:ascii="Arial" w:hAnsi="Arial"/>
        </w:rPr>
        <w:tab/>
        <w:t>Ogólne ustalenia dotyczące podstawy płatności podano w OST D-M-00.00.00 „Wymagania ogólne” pkt 9.</w:t>
      </w:r>
    </w:p>
    <w:p w:rsidR="00AF25CD" w:rsidRDefault="00AF25CD" w:rsidP="00AF25CD">
      <w:pPr>
        <w:pStyle w:val="Nagwek2"/>
        <w:rPr>
          <w:rFonts w:ascii="Arial" w:hAnsi="Arial"/>
        </w:rPr>
      </w:pPr>
      <w:r>
        <w:rPr>
          <w:rFonts w:ascii="Arial" w:hAnsi="Arial"/>
        </w:rPr>
        <w:t>9.2. Cena jednostki obmiarowej</w:t>
      </w:r>
    </w:p>
    <w:p w:rsidR="00AF25CD" w:rsidRDefault="00AF25CD" w:rsidP="00AF25CD">
      <w:pPr>
        <w:rPr>
          <w:rFonts w:ascii="Arial" w:hAnsi="Arial"/>
        </w:rPr>
      </w:pPr>
      <w:r>
        <w:rPr>
          <w:rFonts w:ascii="Arial" w:hAnsi="Arial"/>
        </w:rPr>
        <w:tab/>
        <w:t>Cena wykonania jednostki obmiarowej oznakowania pionowego obejmuje:</w:t>
      </w:r>
    </w:p>
    <w:p w:rsidR="00AF25CD" w:rsidRDefault="00AF25CD" w:rsidP="00AF25CD">
      <w:pPr>
        <w:rPr>
          <w:rFonts w:ascii="Arial" w:hAnsi="Arial"/>
        </w:rPr>
      </w:pPr>
      <w:r>
        <w:rPr>
          <w:rFonts w:ascii="Arial" w:hAnsi="Arial"/>
        </w:rPr>
        <w:t>-    oznakowanie i zabezpieczenie robót,</w:t>
      </w:r>
    </w:p>
    <w:p w:rsidR="00AF25CD" w:rsidRDefault="00AF25CD" w:rsidP="00AF25CD">
      <w:pPr>
        <w:numPr>
          <w:ilvl w:val="0"/>
          <w:numId w:val="3"/>
        </w:numPr>
        <w:rPr>
          <w:rFonts w:ascii="Arial" w:hAnsi="Arial"/>
        </w:rPr>
      </w:pPr>
      <w:r>
        <w:rPr>
          <w:rFonts w:ascii="Arial" w:hAnsi="Arial"/>
        </w:rPr>
        <w:t>prace pomiarowe i roboty przygotowawcze,</w:t>
      </w:r>
    </w:p>
    <w:p w:rsidR="00AF25CD" w:rsidRDefault="00AF25CD" w:rsidP="00AF25CD">
      <w:pPr>
        <w:numPr>
          <w:ilvl w:val="0"/>
          <w:numId w:val="3"/>
        </w:numPr>
        <w:rPr>
          <w:rFonts w:ascii="Arial" w:hAnsi="Arial"/>
        </w:rPr>
      </w:pPr>
      <w:r>
        <w:rPr>
          <w:rFonts w:ascii="Arial" w:hAnsi="Arial"/>
        </w:rPr>
        <w:t>wykonanie fundamentów,</w:t>
      </w:r>
    </w:p>
    <w:p w:rsidR="00AF25CD" w:rsidRDefault="00AF25CD" w:rsidP="00AF25CD">
      <w:pPr>
        <w:numPr>
          <w:ilvl w:val="0"/>
          <w:numId w:val="3"/>
        </w:numPr>
        <w:rPr>
          <w:rFonts w:ascii="Arial" w:hAnsi="Arial"/>
        </w:rPr>
      </w:pPr>
      <w:r>
        <w:rPr>
          <w:rFonts w:ascii="Arial" w:hAnsi="Arial"/>
        </w:rPr>
        <w:t>dostarczenie i ustawienie konstrukcji wsporczych (słupków znaków prostych, słupków giętych, wysięgników z podstawą mocowania przylegającą do kształtu podłoża (ściana budynku,  latarnia),</w:t>
      </w:r>
    </w:p>
    <w:p w:rsidR="00AF25CD" w:rsidRDefault="00AF25CD" w:rsidP="00AF25CD">
      <w:pPr>
        <w:numPr>
          <w:ilvl w:val="0"/>
          <w:numId w:val="3"/>
        </w:numPr>
        <w:rPr>
          <w:rFonts w:ascii="Arial" w:hAnsi="Arial"/>
        </w:rPr>
      </w:pPr>
      <w:r>
        <w:rPr>
          <w:rFonts w:ascii="Arial" w:hAnsi="Arial"/>
        </w:rPr>
        <w:t>zamocowanie tarcz znaków drogowych,</w:t>
      </w:r>
    </w:p>
    <w:p w:rsidR="00AF25CD" w:rsidRDefault="00AF25CD" w:rsidP="00AF25CD">
      <w:pPr>
        <w:numPr>
          <w:ilvl w:val="0"/>
          <w:numId w:val="3"/>
        </w:numPr>
        <w:rPr>
          <w:rFonts w:ascii="Arial" w:hAnsi="Arial"/>
        </w:rPr>
      </w:pPr>
      <w:r>
        <w:rPr>
          <w:rFonts w:ascii="Arial" w:hAnsi="Arial"/>
        </w:rPr>
        <w:t>odtworzenie nawierzchni drogowej po zdemontowanych słupkach i naprawa tynków po zdemontowanych wysięgnikach</w:t>
      </w:r>
    </w:p>
    <w:p w:rsidR="00AF25CD" w:rsidRDefault="00AF25CD" w:rsidP="00AF25CD">
      <w:pPr>
        <w:numPr>
          <w:ilvl w:val="0"/>
          <w:numId w:val="3"/>
        </w:numPr>
      </w:pPr>
      <w:r>
        <w:rPr>
          <w:rFonts w:ascii="Arial" w:hAnsi="Arial"/>
        </w:rPr>
        <w:t>przeprowadzenie pomiarów i badań wymaganych w specyfikacji technicznej.</w:t>
      </w:r>
    </w:p>
    <w:p w:rsidR="00AF25CD" w:rsidRDefault="00AF25CD" w:rsidP="00AF25CD">
      <w:pPr>
        <w:pStyle w:val="Nagwek1"/>
        <w:rPr>
          <w:rFonts w:ascii="Arial" w:hAnsi="Arial"/>
        </w:rPr>
      </w:pPr>
      <w:bookmarkStart w:id="20" w:name="_Toc425833589"/>
      <w:r>
        <w:rPr>
          <w:rFonts w:ascii="Arial" w:hAnsi="Arial"/>
        </w:rPr>
        <w:t>10. Normy i przepisy związane</w:t>
      </w:r>
      <w:bookmarkEnd w:id="20"/>
    </w:p>
    <w:p w:rsidR="00AF25CD" w:rsidRDefault="00AF25CD" w:rsidP="00AF25CD">
      <w:pPr>
        <w:pStyle w:val="Nagwek2"/>
        <w:rPr>
          <w:rFonts w:ascii="Arial" w:hAnsi="Arial"/>
        </w:rPr>
      </w:pPr>
      <w:r>
        <w:rPr>
          <w:rFonts w:ascii="Arial" w:hAnsi="Arial"/>
        </w:rPr>
        <w:t>10.1. Normy</w:t>
      </w:r>
    </w:p>
    <w:p w:rsidR="00AF25CD" w:rsidRDefault="00AF25CD" w:rsidP="00AF25CD">
      <w:pPr>
        <w:pStyle w:val="NormalWeb"/>
        <w:spacing w:before="0" w:after="0"/>
        <w:jc w:val="both"/>
        <w:rPr>
          <w:rFonts w:ascii="Arial" w:hAnsi="Arial"/>
          <w:sz w:val="20"/>
        </w:rPr>
      </w:pPr>
      <w:r>
        <w:rPr>
          <w:rFonts w:ascii="Arial" w:hAnsi="Arial"/>
          <w:b/>
          <w:sz w:val="20"/>
        </w:rPr>
        <w:t xml:space="preserve">1. </w:t>
      </w:r>
      <w:r>
        <w:rPr>
          <w:rFonts w:ascii="Arial" w:hAnsi="Arial"/>
          <w:sz w:val="20"/>
        </w:rPr>
        <w:t xml:space="preserve"> PN-76/C-81521 Wyroby lakierowane - badanie odporności powłoki lakierowanej na działanie wody oraz oznaczanie nasiąkliwości</w:t>
      </w:r>
    </w:p>
    <w:p w:rsidR="00AF25CD" w:rsidRDefault="00AF25CD" w:rsidP="00AF25CD">
      <w:pPr>
        <w:pStyle w:val="NormalWeb"/>
        <w:spacing w:before="0" w:after="0"/>
        <w:jc w:val="both"/>
        <w:rPr>
          <w:rFonts w:ascii="Arial" w:hAnsi="Arial"/>
          <w:sz w:val="20"/>
        </w:rPr>
      </w:pPr>
      <w:r>
        <w:rPr>
          <w:rFonts w:ascii="Arial" w:hAnsi="Arial"/>
          <w:b/>
          <w:sz w:val="20"/>
        </w:rPr>
        <w:t>2.</w:t>
      </w:r>
      <w:r>
        <w:rPr>
          <w:rFonts w:ascii="Arial" w:hAnsi="Arial"/>
          <w:sz w:val="20"/>
        </w:rPr>
        <w:t xml:space="preserve">  PN-83/B-03010 Ściany oporowe - Obliczenia statyczne i projektowanie</w:t>
      </w:r>
    </w:p>
    <w:p w:rsidR="00AF25CD" w:rsidRDefault="00AF25CD" w:rsidP="00AF25CD">
      <w:pPr>
        <w:pStyle w:val="NormalWeb"/>
        <w:spacing w:before="0" w:after="0"/>
        <w:jc w:val="both"/>
        <w:rPr>
          <w:rFonts w:ascii="Arial" w:hAnsi="Arial"/>
          <w:sz w:val="20"/>
        </w:rPr>
      </w:pPr>
      <w:r>
        <w:rPr>
          <w:rFonts w:ascii="Arial" w:hAnsi="Arial"/>
          <w:b/>
          <w:sz w:val="20"/>
        </w:rPr>
        <w:t>3.</w:t>
      </w:r>
      <w:r>
        <w:rPr>
          <w:rFonts w:ascii="Arial" w:hAnsi="Arial"/>
          <w:sz w:val="20"/>
        </w:rPr>
        <w:t xml:space="preserve"> PN-84/H-74220 Rury stalowe bez szwu ciągnione i walcowane na zimno ogólnego zastosowania </w:t>
      </w:r>
    </w:p>
    <w:p w:rsidR="00AF25CD" w:rsidRDefault="00AF25CD" w:rsidP="00AF25CD">
      <w:pPr>
        <w:pStyle w:val="NormalWeb"/>
        <w:spacing w:before="0" w:after="0"/>
        <w:jc w:val="both"/>
        <w:rPr>
          <w:rFonts w:ascii="Arial" w:hAnsi="Arial"/>
          <w:sz w:val="20"/>
        </w:rPr>
      </w:pPr>
      <w:r>
        <w:rPr>
          <w:rFonts w:ascii="Arial" w:hAnsi="Arial"/>
          <w:b/>
          <w:sz w:val="20"/>
        </w:rPr>
        <w:t>4.</w:t>
      </w:r>
      <w:r>
        <w:rPr>
          <w:rFonts w:ascii="Arial" w:hAnsi="Arial"/>
          <w:sz w:val="20"/>
        </w:rPr>
        <w:t xml:space="preserve"> PN-88/C-81523 Wyroby lakierowane - Oznaczanie odporności powłoki na działanie mgły solnej </w:t>
      </w:r>
    </w:p>
    <w:p w:rsidR="00AF25CD" w:rsidRDefault="00AF25CD" w:rsidP="00AF25CD">
      <w:pPr>
        <w:pStyle w:val="NormalWeb"/>
        <w:spacing w:before="0" w:after="0"/>
        <w:jc w:val="both"/>
        <w:rPr>
          <w:rFonts w:ascii="Arial" w:hAnsi="Arial"/>
          <w:sz w:val="20"/>
        </w:rPr>
      </w:pPr>
      <w:r>
        <w:rPr>
          <w:rFonts w:ascii="Arial" w:hAnsi="Arial"/>
          <w:b/>
          <w:sz w:val="20"/>
        </w:rPr>
        <w:t xml:space="preserve">5.  </w:t>
      </w:r>
      <w:r>
        <w:rPr>
          <w:rFonts w:ascii="Arial" w:hAnsi="Arial"/>
          <w:sz w:val="20"/>
        </w:rPr>
        <w:t>PN-89/H-84023.07 Stal określonego zastosowania. Stal na rury. Gatunki</w:t>
      </w:r>
    </w:p>
    <w:p w:rsidR="00AF25CD" w:rsidRDefault="00AF25CD" w:rsidP="00AF25CD">
      <w:pPr>
        <w:pStyle w:val="NormalWeb"/>
        <w:spacing w:before="0" w:after="0"/>
        <w:jc w:val="both"/>
        <w:rPr>
          <w:rFonts w:ascii="Arial" w:hAnsi="Arial"/>
          <w:sz w:val="20"/>
        </w:rPr>
      </w:pPr>
      <w:r>
        <w:rPr>
          <w:rFonts w:ascii="Arial" w:hAnsi="Arial"/>
          <w:b/>
          <w:sz w:val="20"/>
        </w:rPr>
        <w:t xml:space="preserve">6. </w:t>
      </w:r>
      <w:r>
        <w:rPr>
          <w:rFonts w:ascii="Arial" w:hAnsi="Arial"/>
          <w:sz w:val="20"/>
        </w:rPr>
        <w:t>PN-B-03215:1998 Konstrukcje stalowe - Połączenia z fundamentami - Projektowanie i wykonanie</w:t>
      </w:r>
    </w:p>
    <w:p w:rsidR="00AF25CD" w:rsidRDefault="00AF25CD" w:rsidP="00AF25CD">
      <w:pPr>
        <w:pStyle w:val="NormalWeb"/>
        <w:spacing w:before="0" w:after="0"/>
        <w:jc w:val="both"/>
        <w:rPr>
          <w:rFonts w:ascii="Arial" w:hAnsi="Arial"/>
          <w:sz w:val="20"/>
        </w:rPr>
      </w:pPr>
      <w:r>
        <w:rPr>
          <w:rFonts w:ascii="Arial" w:hAnsi="Arial"/>
          <w:b/>
          <w:sz w:val="20"/>
        </w:rPr>
        <w:t xml:space="preserve">7. </w:t>
      </w:r>
      <w:r>
        <w:rPr>
          <w:rFonts w:ascii="Arial" w:hAnsi="Arial"/>
          <w:sz w:val="20"/>
        </w:rPr>
        <w:t xml:space="preserve">PN-B-03264:2002 Konstrukcje betonowe, żelbetowe i sprężone - Obliczenia statyczne i projektowanie </w:t>
      </w:r>
    </w:p>
    <w:p w:rsidR="00AF25CD" w:rsidRDefault="00AF25CD" w:rsidP="00AF25CD">
      <w:pPr>
        <w:pStyle w:val="NormalWeb"/>
        <w:spacing w:before="0" w:after="0"/>
        <w:jc w:val="both"/>
        <w:rPr>
          <w:rFonts w:ascii="Arial" w:hAnsi="Arial"/>
          <w:sz w:val="20"/>
        </w:rPr>
      </w:pPr>
      <w:r>
        <w:rPr>
          <w:rFonts w:ascii="Arial" w:hAnsi="Arial"/>
          <w:b/>
          <w:sz w:val="20"/>
        </w:rPr>
        <w:t xml:space="preserve">8. </w:t>
      </w:r>
      <w:r>
        <w:rPr>
          <w:rFonts w:ascii="Arial" w:hAnsi="Arial"/>
          <w:sz w:val="20"/>
        </w:rPr>
        <w:t xml:space="preserve">PN-EN 40-5:2004 Słupy oświetleniowe. Część </w:t>
      </w:r>
      <w:r>
        <w:rPr>
          <w:rFonts w:ascii="Arial" w:hAnsi="Arial"/>
          <w:i/>
          <w:sz w:val="20"/>
        </w:rPr>
        <w:t xml:space="preserve">5. </w:t>
      </w:r>
      <w:r>
        <w:rPr>
          <w:rFonts w:ascii="Arial" w:hAnsi="Arial"/>
          <w:sz w:val="20"/>
        </w:rPr>
        <w:t>Słupy oświetleniowe stalowe. Wymagania.</w:t>
      </w:r>
    </w:p>
    <w:p w:rsidR="00AF25CD" w:rsidRDefault="00AF25CD" w:rsidP="00AF25CD">
      <w:pPr>
        <w:pStyle w:val="NormalWeb"/>
        <w:spacing w:before="0" w:after="0"/>
        <w:jc w:val="both"/>
        <w:rPr>
          <w:rFonts w:ascii="Arial" w:hAnsi="Arial"/>
          <w:sz w:val="20"/>
        </w:rPr>
      </w:pPr>
      <w:r>
        <w:rPr>
          <w:rFonts w:ascii="Arial" w:hAnsi="Arial"/>
          <w:b/>
          <w:sz w:val="20"/>
        </w:rPr>
        <w:t xml:space="preserve">9. </w:t>
      </w:r>
      <w:r>
        <w:rPr>
          <w:rFonts w:ascii="Arial" w:hAnsi="Arial"/>
          <w:sz w:val="20"/>
        </w:rPr>
        <w:t xml:space="preserve">PN-EN 2-6-1:2003 Beton Część 1: Wymagania, właściwości, produkcja i zgodność </w:t>
      </w:r>
    </w:p>
    <w:p w:rsidR="00AF25CD" w:rsidRDefault="00AF25CD" w:rsidP="00AF25CD">
      <w:pPr>
        <w:pStyle w:val="NormalWeb"/>
        <w:spacing w:before="0" w:after="0"/>
        <w:jc w:val="both"/>
        <w:rPr>
          <w:rFonts w:ascii="Arial" w:hAnsi="Arial"/>
          <w:sz w:val="20"/>
        </w:rPr>
      </w:pPr>
      <w:r>
        <w:rPr>
          <w:rFonts w:ascii="Arial" w:hAnsi="Arial"/>
          <w:b/>
          <w:sz w:val="20"/>
        </w:rPr>
        <w:t xml:space="preserve">10. </w:t>
      </w:r>
      <w:r>
        <w:rPr>
          <w:rFonts w:ascii="Arial" w:hAnsi="Arial"/>
          <w:sz w:val="20"/>
        </w:rPr>
        <w:t xml:space="preserve">PN-EN 485-4:1997 Aluminium i stopy aluminium - Blachy, taśmy i płyty - Tolerancje kształtu i wymiarów wyrobów walcowanych na ziarno </w:t>
      </w:r>
    </w:p>
    <w:p w:rsidR="00AF25CD" w:rsidRDefault="00AF25CD" w:rsidP="00AF25CD">
      <w:pPr>
        <w:pStyle w:val="NormalWeb"/>
        <w:spacing w:before="0" w:after="0"/>
        <w:jc w:val="both"/>
        <w:rPr>
          <w:rFonts w:ascii="Arial" w:hAnsi="Arial"/>
          <w:sz w:val="20"/>
        </w:rPr>
      </w:pPr>
      <w:r>
        <w:rPr>
          <w:rFonts w:ascii="Arial" w:hAnsi="Arial"/>
          <w:b/>
          <w:sz w:val="20"/>
        </w:rPr>
        <w:t>11.</w:t>
      </w:r>
      <w:r>
        <w:rPr>
          <w:rFonts w:ascii="Arial" w:hAnsi="Arial"/>
          <w:sz w:val="20"/>
        </w:rPr>
        <w:t xml:space="preserve"> PN-EN ISO 1461:2000 Powłoki cynkowe nanoszone na stal metodą zanurzeniową (cynkowanie jednostkowe) — Wymaganie i badanie </w:t>
      </w:r>
    </w:p>
    <w:p w:rsidR="00AF25CD" w:rsidRDefault="00AF25CD" w:rsidP="00AF25CD">
      <w:pPr>
        <w:pStyle w:val="NormalWeb"/>
        <w:spacing w:before="0" w:after="0"/>
        <w:jc w:val="both"/>
        <w:rPr>
          <w:rFonts w:ascii="Arial" w:hAnsi="Arial"/>
          <w:sz w:val="20"/>
        </w:rPr>
      </w:pPr>
      <w:r>
        <w:rPr>
          <w:rFonts w:ascii="Arial" w:hAnsi="Arial"/>
          <w:b/>
          <w:sz w:val="20"/>
        </w:rPr>
        <w:t>12.</w:t>
      </w:r>
      <w:r>
        <w:rPr>
          <w:rFonts w:ascii="Arial" w:hAnsi="Arial"/>
          <w:sz w:val="20"/>
        </w:rPr>
        <w:t xml:space="preserve"> PN-EN 10240:2001 Wewnętrzne i/lub zewnętrzne powłoki ochronne rur stalowych. Wymagania dotyczące powłok wykonanych przez cynkowanie ogniowe w ocynkowniach zautomatyzowanych</w:t>
      </w:r>
    </w:p>
    <w:p w:rsidR="00AF25CD" w:rsidRDefault="00AF25CD" w:rsidP="00AF25CD">
      <w:pPr>
        <w:pStyle w:val="NormalWeb"/>
        <w:spacing w:before="0" w:after="0"/>
        <w:jc w:val="both"/>
        <w:rPr>
          <w:rFonts w:ascii="Arial" w:hAnsi="Arial"/>
          <w:sz w:val="20"/>
        </w:rPr>
      </w:pPr>
      <w:r>
        <w:rPr>
          <w:rFonts w:ascii="Arial" w:hAnsi="Arial"/>
          <w:b/>
          <w:sz w:val="20"/>
        </w:rPr>
        <w:lastRenderedPageBreak/>
        <w:t xml:space="preserve">13. </w:t>
      </w:r>
      <w:r>
        <w:rPr>
          <w:rFonts w:ascii="Arial" w:hAnsi="Arial"/>
          <w:sz w:val="20"/>
        </w:rPr>
        <w:t xml:space="preserve">PN-EN 10292:2003/A1:2004/A1:2005(U) Taśmy i blachy ze stali o podwyższonej granicy plastyczności powlekane ogniowo w sposób ciągły do obróbki plastycznej na zimno. Warunki Techniczne dostawy </w:t>
      </w:r>
    </w:p>
    <w:p w:rsidR="00AF25CD" w:rsidRDefault="00AF25CD" w:rsidP="00AF25CD">
      <w:pPr>
        <w:pStyle w:val="NormalWeb"/>
        <w:spacing w:before="0" w:after="0"/>
        <w:jc w:val="both"/>
        <w:rPr>
          <w:rFonts w:ascii="Arial" w:hAnsi="Arial"/>
          <w:sz w:val="20"/>
        </w:rPr>
      </w:pPr>
      <w:r>
        <w:rPr>
          <w:rFonts w:ascii="Arial" w:hAnsi="Arial"/>
          <w:b/>
          <w:sz w:val="20"/>
        </w:rPr>
        <w:t xml:space="preserve">14. </w:t>
      </w:r>
      <w:r>
        <w:rPr>
          <w:rFonts w:ascii="Arial" w:hAnsi="Arial"/>
          <w:sz w:val="20"/>
        </w:rPr>
        <w:t xml:space="preserve">PN-EN 10327:2005 (U) Taśmy i blachy ze stali niskowęglowych powlekane ogniowo w sposób ciągły do obróbki plastycznej na zimno. Warunki techniczne dostawy </w:t>
      </w:r>
    </w:p>
    <w:p w:rsidR="00AF25CD" w:rsidRDefault="00AF25CD" w:rsidP="00AF25CD">
      <w:pPr>
        <w:pStyle w:val="NormalWeb"/>
        <w:spacing w:before="0" w:after="0"/>
        <w:jc w:val="both"/>
        <w:rPr>
          <w:rFonts w:ascii="Arial" w:hAnsi="Arial"/>
          <w:sz w:val="20"/>
        </w:rPr>
      </w:pPr>
      <w:r>
        <w:rPr>
          <w:rFonts w:ascii="Arial" w:hAnsi="Arial"/>
          <w:b/>
          <w:sz w:val="20"/>
        </w:rPr>
        <w:t xml:space="preserve">15. </w:t>
      </w:r>
      <w:r>
        <w:rPr>
          <w:rFonts w:ascii="Arial" w:hAnsi="Arial"/>
          <w:sz w:val="20"/>
        </w:rPr>
        <w:t xml:space="preserve">PN-EN 12767:2003 Bierne bezpieczeństwo konstrukcji wsporczych dla urządzeń drogowych. Wymagania i metody badań </w:t>
      </w:r>
    </w:p>
    <w:p w:rsidR="00AF25CD" w:rsidRDefault="00AF25CD" w:rsidP="00AF25CD">
      <w:pPr>
        <w:pStyle w:val="NormalWeb"/>
        <w:spacing w:before="0" w:after="0"/>
        <w:jc w:val="both"/>
        <w:rPr>
          <w:rFonts w:ascii="Arial" w:hAnsi="Arial"/>
          <w:sz w:val="20"/>
        </w:rPr>
      </w:pPr>
      <w:r>
        <w:rPr>
          <w:rFonts w:ascii="Arial" w:hAnsi="Arial"/>
          <w:b/>
          <w:sz w:val="20"/>
        </w:rPr>
        <w:t xml:space="preserve">16. </w:t>
      </w:r>
      <w:r>
        <w:rPr>
          <w:rFonts w:ascii="Arial" w:hAnsi="Arial"/>
          <w:sz w:val="20"/>
        </w:rPr>
        <w:t xml:space="preserve">PN-EN 12899-1:2005 Stałe, pionowe znaki drogowe - Część 1: Znaki stałe </w:t>
      </w:r>
    </w:p>
    <w:p w:rsidR="00AF25CD" w:rsidRDefault="00AF25CD" w:rsidP="00AF25CD">
      <w:pPr>
        <w:pStyle w:val="NormalWeb"/>
        <w:spacing w:before="0" w:after="0"/>
        <w:jc w:val="both"/>
        <w:rPr>
          <w:rFonts w:ascii="Arial" w:hAnsi="Arial"/>
          <w:sz w:val="20"/>
        </w:rPr>
      </w:pPr>
      <w:r>
        <w:rPr>
          <w:rFonts w:ascii="Arial" w:hAnsi="Arial"/>
          <w:b/>
          <w:sz w:val="20"/>
        </w:rPr>
        <w:t>17.</w:t>
      </w:r>
      <w:r>
        <w:rPr>
          <w:rFonts w:ascii="Arial" w:hAnsi="Arial"/>
          <w:sz w:val="20"/>
        </w:rPr>
        <w:t xml:space="preserve"> PN-</w:t>
      </w:r>
      <w:r>
        <w:rPr>
          <w:rFonts w:ascii="Arial" w:hAnsi="Arial"/>
          <w:b/>
          <w:sz w:val="20"/>
        </w:rPr>
        <w:t xml:space="preserve"> </w:t>
      </w:r>
      <w:r>
        <w:rPr>
          <w:rFonts w:ascii="Arial" w:hAnsi="Arial"/>
          <w:sz w:val="20"/>
        </w:rPr>
        <w:t>EN 12899-5 Stałe, pionowe znaki drogowe - Część 5 Badanie wstępne typu</w:t>
      </w:r>
    </w:p>
    <w:p w:rsidR="00AF25CD" w:rsidRDefault="00AF25CD" w:rsidP="00AF25CD">
      <w:pPr>
        <w:pStyle w:val="NormalWeb"/>
        <w:spacing w:before="0" w:after="0"/>
        <w:jc w:val="both"/>
        <w:rPr>
          <w:rFonts w:ascii="Arial" w:hAnsi="Arial"/>
          <w:sz w:val="20"/>
        </w:rPr>
      </w:pPr>
      <w:r>
        <w:rPr>
          <w:rFonts w:ascii="Arial" w:hAnsi="Arial"/>
          <w:b/>
          <w:sz w:val="20"/>
        </w:rPr>
        <w:t xml:space="preserve">18. </w:t>
      </w:r>
      <w:r>
        <w:rPr>
          <w:rFonts w:ascii="Arial" w:hAnsi="Arial"/>
          <w:sz w:val="20"/>
        </w:rPr>
        <w:t xml:space="preserve">PN-EN 60529:2003 Stopnie ochrony zapewnianej przez obudowy (Kod IP) </w:t>
      </w:r>
    </w:p>
    <w:p w:rsidR="00AF25CD" w:rsidRDefault="00AF25CD" w:rsidP="00AF25CD">
      <w:pPr>
        <w:pStyle w:val="NormalWeb"/>
        <w:spacing w:before="0" w:after="0"/>
        <w:jc w:val="both"/>
        <w:rPr>
          <w:rFonts w:ascii="Arial" w:hAnsi="Arial"/>
          <w:sz w:val="20"/>
        </w:rPr>
      </w:pPr>
      <w:r>
        <w:rPr>
          <w:rFonts w:ascii="Arial" w:hAnsi="Arial"/>
          <w:b/>
          <w:sz w:val="20"/>
        </w:rPr>
        <w:t xml:space="preserve">19. </w:t>
      </w:r>
      <w:r>
        <w:rPr>
          <w:rFonts w:ascii="Arial" w:hAnsi="Arial"/>
          <w:sz w:val="20"/>
        </w:rPr>
        <w:t xml:space="preserve">PN-EN 60598-1:1990 Oprawy oświetleniowe. Wymagania ogólne i badania </w:t>
      </w:r>
    </w:p>
    <w:p w:rsidR="00AF25CD" w:rsidRDefault="00AF25CD" w:rsidP="00AF25CD">
      <w:pPr>
        <w:pStyle w:val="NormalWeb"/>
        <w:spacing w:before="0" w:after="0"/>
        <w:jc w:val="both"/>
        <w:rPr>
          <w:rFonts w:ascii="Arial" w:hAnsi="Arial"/>
          <w:sz w:val="20"/>
        </w:rPr>
      </w:pPr>
      <w:r>
        <w:rPr>
          <w:rFonts w:ascii="Arial" w:hAnsi="Arial"/>
          <w:b/>
          <w:sz w:val="20"/>
        </w:rPr>
        <w:t xml:space="preserve">20. </w:t>
      </w:r>
      <w:r>
        <w:rPr>
          <w:rFonts w:ascii="Arial" w:hAnsi="Arial"/>
          <w:sz w:val="20"/>
        </w:rPr>
        <w:t xml:space="preserve">PN-EN 60598-2:2003(U) Oprawy oświetleniowe - Wymagania szczegółowe - Oprawy oświetleniowe drogowe </w:t>
      </w:r>
    </w:p>
    <w:p w:rsidR="00AF25CD" w:rsidRDefault="00AF25CD" w:rsidP="00AF25CD">
      <w:pPr>
        <w:pStyle w:val="NormalWeb"/>
        <w:spacing w:before="0" w:after="0"/>
        <w:jc w:val="both"/>
        <w:rPr>
          <w:rFonts w:ascii="Arial" w:hAnsi="Arial"/>
          <w:sz w:val="20"/>
        </w:rPr>
      </w:pPr>
      <w:r>
        <w:rPr>
          <w:rFonts w:ascii="Arial" w:hAnsi="Arial"/>
          <w:b/>
          <w:sz w:val="20"/>
        </w:rPr>
        <w:t xml:space="preserve">21. </w:t>
      </w:r>
      <w:r>
        <w:rPr>
          <w:rFonts w:ascii="Arial" w:hAnsi="Arial"/>
          <w:sz w:val="20"/>
        </w:rPr>
        <w:t xml:space="preserve">PN-H-74200:1998 Rury stalowe ze szwem, gwintowane </w:t>
      </w:r>
    </w:p>
    <w:p w:rsidR="00AF25CD" w:rsidRDefault="00AF25CD" w:rsidP="00AF25CD">
      <w:pPr>
        <w:pStyle w:val="NormalWeb"/>
        <w:spacing w:before="0" w:after="0"/>
        <w:jc w:val="both"/>
        <w:rPr>
          <w:rFonts w:ascii="Arial" w:hAnsi="Arial"/>
          <w:sz w:val="20"/>
        </w:rPr>
      </w:pPr>
      <w:r>
        <w:rPr>
          <w:rFonts w:ascii="Arial" w:hAnsi="Arial"/>
          <w:b/>
          <w:sz w:val="20"/>
        </w:rPr>
        <w:t xml:space="preserve">22. </w:t>
      </w:r>
      <w:r>
        <w:rPr>
          <w:rFonts w:ascii="Arial" w:hAnsi="Arial"/>
          <w:sz w:val="20"/>
        </w:rPr>
        <w:t xml:space="preserve">PN-EN ISO 2808:2000 Farby i lakiery - oznaczanie grubości powłoki </w:t>
      </w:r>
    </w:p>
    <w:p w:rsidR="00AF25CD" w:rsidRDefault="00AF25CD" w:rsidP="00AF25CD">
      <w:pPr>
        <w:pStyle w:val="NormalWeb"/>
        <w:spacing w:before="0" w:after="0"/>
        <w:jc w:val="both"/>
        <w:rPr>
          <w:rFonts w:ascii="Arial" w:hAnsi="Arial"/>
          <w:sz w:val="20"/>
        </w:rPr>
      </w:pPr>
      <w:r>
        <w:rPr>
          <w:rFonts w:ascii="Arial" w:hAnsi="Arial"/>
          <w:b/>
          <w:sz w:val="20"/>
        </w:rPr>
        <w:t xml:space="preserve">23. </w:t>
      </w:r>
      <w:r>
        <w:rPr>
          <w:rFonts w:ascii="Arial" w:hAnsi="Arial"/>
          <w:sz w:val="20"/>
        </w:rPr>
        <w:t>PN-91/H-93010 Stal. Kształtowniki walcowane na gorąco</w:t>
      </w:r>
    </w:p>
    <w:p w:rsidR="00AF25CD" w:rsidRDefault="00AF25CD" w:rsidP="00AF25CD">
      <w:pPr>
        <w:pStyle w:val="NormalWeb"/>
        <w:spacing w:before="0" w:after="0"/>
        <w:jc w:val="both"/>
        <w:rPr>
          <w:rFonts w:ascii="Arial" w:hAnsi="Arial"/>
          <w:sz w:val="20"/>
        </w:rPr>
      </w:pPr>
      <w:r>
        <w:rPr>
          <w:rFonts w:ascii="Arial" w:hAnsi="Arial"/>
          <w:b/>
          <w:sz w:val="20"/>
        </w:rPr>
        <w:t xml:space="preserve">24. </w:t>
      </w:r>
      <w:r>
        <w:rPr>
          <w:rFonts w:ascii="Arial" w:hAnsi="Arial"/>
          <w:sz w:val="20"/>
        </w:rPr>
        <w:t>PN-S-02205:1998 Drogi samochodowe. Roboty ziemne. Wymagania i badania</w:t>
      </w:r>
      <w:r>
        <w:rPr>
          <w:rFonts w:ascii="Arial" w:hAnsi="Arial"/>
          <w:sz w:val="20"/>
        </w:rPr>
        <w:br/>
        <w:t xml:space="preserve"> </w:t>
      </w:r>
    </w:p>
    <w:p w:rsidR="00AF25CD" w:rsidRDefault="00AF25CD" w:rsidP="00AF25CD">
      <w:pPr>
        <w:pStyle w:val="NormalWeb"/>
        <w:spacing w:before="0" w:after="0"/>
        <w:jc w:val="both"/>
        <w:rPr>
          <w:rFonts w:ascii="Arial" w:hAnsi="Arial"/>
          <w:b/>
          <w:sz w:val="20"/>
        </w:rPr>
      </w:pPr>
      <w:r>
        <w:rPr>
          <w:rFonts w:ascii="Arial" w:hAnsi="Arial"/>
          <w:b/>
          <w:sz w:val="20"/>
        </w:rPr>
        <w:t>10.2. Przepisy związane</w:t>
      </w:r>
    </w:p>
    <w:p w:rsidR="00AF25CD" w:rsidRDefault="00AF25CD" w:rsidP="00AF25CD">
      <w:pPr>
        <w:pStyle w:val="NormalWeb"/>
        <w:spacing w:before="0" w:after="0"/>
        <w:jc w:val="both"/>
        <w:rPr>
          <w:rFonts w:ascii="Arial" w:hAnsi="Arial"/>
          <w:b/>
          <w:sz w:val="20"/>
        </w:rPr>
      </w:pPr>
    </w:p>
    <w:p w:rsidR="00AF25CD" w:rsidRDefault="00AF25CD" w:rsidP="00AF25CD">
      <w:pPr>
        <w:pStyle w:val="NormalWeb"/>
        <w:spacing w:before="0" w:after="0"/>
        <w:jc w:val="both"/>
        <w:rPr>
          <w:rFonts w:ascii="Arial" w:hAnsi="Arial"/>
          <w:sz w:val="20"/>
        </w:rPr>
      </w:pPr>
      <w:r>
        <w:rPr>
          <w:rFonts w:ascii="Arial" w:hAnsi="Arial"/>
          <w:b/>
          <w:sz w:val="20"/>
        </w:rPr>
        <w:t xml:space="preserve">25. </w:t>
      </w:r>
      <w:r>
        <w:rPr>
          <w:rFonts w:ascii="Arial" w:hAnsi="Arial"/>
          <w:sz w:val="20"/>
        </w:rPr>
        <w:t>Załączniki nr 1 i 4 do rozporządzenia Ministra Infrastruktury z dnia 3 lipca 2003r. w sprawie szczegółowych warunków technicznych dla znaków i sygnałów drogowych oraz urządzeń bezpieczeństwa ruchu drogowego i warunków ich umieszczania na drogach (Dz. U. nr 220, poz. 2181)</w:t>
      </w:r>
    </w:p>
    <w:p w:rsidR="00AF25CD" w:rsidRDefault="00AF25CD" w:rsidP="00AF25CD">
      <w:pPr>
        <w:pStyle w:val="NormalWeb"/>
        <w:spacing w:before="0" w:after="0"/>
        <w:jc w:val="both"/>
        <w:rPr>
          <w:rFonts w:ascii="Arial" w:hAnsi="Arial"/>
          <w:sz w:val="20"/>
        </w:rPr>
      </w:pPr>
      <w:r>
        <w:rPr>
          <w:rFonts w:ascii="Arial" w:hAnsi="Arial"/>
          <w:b/>
          <w:sz w:val="20"/>
        </w:rPr>
        <w:t xml:space="preserve">26. </w:t>
      </w:r>
      <w:r>
        <w:rPr>
          <w:rFonts w:ascii="Arial" w:hAnsi="Arial"/>
          <w:sz w:val="20"/>
        </w:rPr>
        <w:t>Rozporządzenie Ministra Infrastruktury z dnia 11 sierpnia 2004 r. w sprawie sposobów deklarowania zgodności wyrobów budowlanych oraz sposobu znakowania ich znakiem budowlanym (Dz. U. nr 198, poz. 2041)</w:t>
      </w:r>
    </w:p>
    <w:p w:rsidR="00AF25CD" w:rsidRDefault="00AF25CD" w:rsidP="00AF25CD">
      <w:pPr>
        <w:pStyle w:val="NormalWeb"/>
        <w:spacing w:before="0" w:after="0"/>
        <w:jc w:val="both"/>
        <w:rPr>
          <w:rFonts w:ascii="Arial" w:hAnsi="Arial"/>
          <w:b/>
          <w:sz w:val="20"/>
        </w:rPr>
      </w:pPr>
      <w:r>
        <w:rPr>
          <w:rFonts w:ascii="Arial" w:hAnsi="Arial"/>
          <w:b/>
          <w:sz w:val="20"/>
        </w:rPr>
        <w:t xml:space="preserve">27. </w:t>
      </w:r>
      <w:r>
        <w:rPr>
          <w:rFonts w:ascii="Arial" w:hAnsi="Arial"/>
          <w:sz w:val="20"/>
        </w:rPr>
        <w:t>Rozporządzenie Ministra Infrastruktury z dnia 11 sierpnia 2004r. w sprawie systemów oceny zgodności, wymagań jakie powinny spełniać notyfikowane jednostki uczestniczące w ocenie zgodności oraz sposobu oznaczenia wyrobów budowlanych oznakowaniem CE (Dz.U. nr 195, poz.2011)</w:t>
      </w:r>
    </w:p>
    <w:p w:rsidR="00AF25CD" w:rsidRDefault="00AF25CD" w:rsidP="00AF25CD">
      <w:pPr>
        <w:pStyle w:val="NormalWeb"/>
        <w:spacing w:before="0" w:after="0"/>
        <w:jc w:val="both"/>
        <w:rPr>
          <w:rFonts w:ascii="Arial" w:hAnsi="Arial"/>
          <w:sz w:val="20"/>
        </w:rPr>
      </w:pPr>
      <w:r>
        <w:rPr>
          <w:rFonts w:ascii="Arial" w:hAnsi="Arial"/>
          <w:b/>
          <w:sz w:val="20"/>
        </w:rPr>
        <w:t xml:space="preserve">28. </w:t>
      </w:r>
      <w:r>
        <w:rPr>
          <w:rFonts w:ascii="Arial" w:hAnsi="Arial"/>
          <w:sz w:val="20"/>
        </w:rPr>
        <w:t>Rozporządzenie Ministra Infrastruktury z dn. 08 listopada 2004 r. w sprawie aprobat technicznych oraz jednostek organizacyjnych upoważnionych do ich wydawania</w:t>
      </w:r>
      <w:r>
        <w:rPr>
          <w:rFonts w:ascii="Arial" w:hAnsi="Arial"/>
          <w:b/>
          <w:sz w:val="20"/>
        </w:rPr>
        <w:t xml:space="preserve"> </w:t>
      </w:r>
      <w:r>
        <w:rPr>
          <w:rFonts w:ascii="Arial" w:hAnsi="Arial"/>
          <w:sz w:val="20"/>
        </w:rPr>
        <w:t xml:space="preserve">(Dz. U. nr 249, poz. 2497) </w:t>
      </w:r>
    </w:p>
    <w:p w:rsidR="00AF25CD" w:rsidRDefault="00AF25CD" w:rsidP="00AF25CD">
      <w:pPr>
        <w:pStyle w:val="NormalWeb"/>
        <w:spacing w:before="0" w:after="0"/>
        <w:jc w:val="both"/>
        <w:rPr>
          <w:rFonts w:ascii="Arial" w:hAnsi="Arial"/>
          <w:sz w:val="20"/>
        </w:rPr>
      </w:pPr>
      <w:r>
        <w:rPr>
          <w:rFonts w:ascii="Arial" w:hAnsi="Arial"/>
          <w:b/>
          <w:sz w:val="20"/>
        </w:rPr>
        <w:t xml:space="preserve">29. </w:t>
      </w:r>
      <w:proofErr w:type="spellStart"/>
      <w:r>
        <w:rPr>
          <w:rFonts w:ascii="Arial" w:hAnsi="Arial"/>
          <w:sz w:val="20"/>
        </w:rPr>
        <w:t>ClE</w:t>
      </w:r>
      <w:proofErr w:type="spellEnd"/>
      <w:r>
        <w:rPr>
          <w:rFonts w:ascii="Arial" w:hAnsi="Arial"/>
          <w:sz w:val="20"/>
        </w:rPr>
        <w:t xml:space="preserve"> No. 39.2 1983 </w:t>
      </w:r>
      <w:proofErr w:type="spellStart"/>
      <w:r>
        <w:rPr>
          <w:rFonts w:ascii="Arial" w:hAnsi="Arial"/>
          <w:sz w:val="20"/>
        </w:rPr>
        <w:t>Recommendations</w:t>
      </w:r>
      <w:proofErr w:type="spellEnd"/>
      <w:r>
        <w:rPr>
          <w:rFonts w:ascii="Arial" w:hAnsi="Arial"/>
          <w:sz w:val="20"/>
        </w:rPr>
        <w:t xml:space="preserve"> for </w:t>
      </w:r>
      <w:proofErr w:type="spellStart"/>
      <w:r>
        <w:rPr>
          <w:rFonts w:ascii="Arial" w:hAnsi="Arial"/>
          <w:sz w:val="20"/>
        </w:rPr>
        <w:t>surface</w:t>
      </w:r>
      <w:proofErr w:type="spellEnd"/>
      <w:r>
        <w:rPr>
          <w:rFonts w:ascii="Arial" w:hAnsi="Arial"/>
          <w:sz w:val="20"/>
        </w:rPr>
        <w:t xml:space="preserve"> </w:t>
      </w:r>
      <w:proofErr w:type="spellStart"/>
      <w:r>
        <w:rPr>
          <w:rFonts w:ascii="Arial" w:hAnsi="Arial"/>
          <w:sz w:val="20"/>
        </w:rPr>
        <w:t>colours</w:t>
      </w:r>
      <w:proofErr w:type="spellEnd"/>
      <w:r>
        <w:rPr>
          <w:rFonts w:ascii="Arial" w:hAnsi="Arial"/>
          <w:sz w:val="20"/>
        </w:rPr>
        <w:t xml:space="preserve"> for </w:t>
      </w:r>
      <w:proofErr w:type="spellStart"/>
      <w:r>
        <w:rPr>
          <w:rFonts w:ascii="Arial" w:hAnsi="Arial"/>
          <w:sz w:val="20"/>
        </w:rPr>
        <w:t>yisual</w:t>
      </w:r>
      <w:proofErr w:type="spellEnd"/>
      <w:r>
        <w:rPr>
          <w:rFonts w:ascii="Arial" w:hAnsi="Arial"/>
          <w:sz w:val="20"/>
        </w:rPr>
        <w:t xml:space="preserve"> </w:t>
      </w:r>
      <w:proofErr w:type="spellStart"/>
      <w:r>
        <w:rPr>
          <w:rFonts w:ascii="Arial" w:hAnsi="Arial"/>
          <w:sz w:val="20"/>
        </w:rPr>
        <w:t>sigńalling</w:t>
      </w:r>
      <w:proofErr w:type="spellEnd"/>
      <w:r>
        <w:rPr>
          <w:rFonts w:ascii="Arial" w:hAnsi="Arial"/>
          <w:sz w:val="20"/>
        </w:rPr>
        <w:t xml:space="preserve"> (Zalecenia dla barw powierzchniowych sygnalizacji wizualnej)</w:t>
      </w:r>
    </w:p>
    <w:p w:rsidR="00AF25CD" w:rsidRDefault="00AF25CD" w:rsidP="00AF25CD">
      <w:pPr>
        <w:pStyle w:val="NormalWeb"/>
        <w:spacing w:before="0" w:after="0"/>
        <w:jc w:val="both"/>
        <w:rPr>
          <w:rFonts w:ascii="Arial" w:hAnsi="Arial"/>
          <w:sz w:val="20"/>
        </w:rPr>
      </w:pPr>
      <w:r>
        <w:rPr>
          <w:rFonts w:ascii="Arial" w:hAnsi="Arial"/>
          <w:b/>
          <w:sz w:val="20"/>
        </w:rPr>
        <w:t xml:space="preserve">30. </w:t>
      </w:r>
      <w:proofErr w:type="spellStart"/>
      <w:r>
        <w:rPr>
          <w:rFonts w:ascii="Arial" w:hAnsi="Arial"/>
          <w:sz w:val="20"/>
        </w:rPr>
        <w:t>ClE</w:t>
      </w:r>
      <w:proofErr w:type="spellEnd"/>
      <w:r>
        <w:rPr>
          <w:rFonts w:ascii="Arial" w:hAnsi="Arial"/>
          <w:sz w:val="20"/>
        </w:rPr>
        <w:t xml:space="preserve"> No. 54 </w:t>
      </w:r>
      <w:proofErr w:type="spellStart"/>
      <w:r>
        <w:rPr>
          <w:rFonts w:ascii="Arial" w:hAnsi="Arial"/>
          <w:sz w:val="20"/>
        </w:rPr>
        <w:t>Retroreflection</w:t>
      </w:r>
      <w:proofErr w:type="spellEnd"/>
      <w:r>
        <w:rPr>
          <w:rFonts w:ascii="Arial" w:hAnsi="Arial"/>
          <w:sz w:val="20"/>
        </w:rPr>
        <w:t xml:space="preserve"> </w:t>
      </w:r>
      <w:proofErr w:type="spellStart"/>
      <w:r>
        <w:rPr>
          <w:rFonts w:ascii="Arial" w:hAnsi="Arial"/>
          <w:sz w:val="20"/>
        </w:rPr>
        <w:t>definition</w:t>
      </w:r>
      <w:proofErr w:type="spellEnd"/>
      <w:r>
        <w:rPr>
          <w:rFonts w:ascii="Arial" w:hAnsi="Arial"/>
          <w:sz w:val="20"/>
        </w:rPr>
        <w:t xml:space="preserve"> and </w:t>
      </w:r>
      <w:proofErr w:type="spellStart"/>
      <w:r>
        <w:rPr>
          <w:rFonts w:ascii="Arial" w:hAnsi="Arial"/>
          <w:sz w:val="20"/>
        </w:rPr>
        <w:t>measurement</w:t>
      </w:r>
      <w:proofErr w:type="spellEnd"/>
      <w:r>
        <w:rPr>
          <w:rFonts w:ascii="Arial" w:hAnsi="Arial"/>
          <w:sz w:val="20"/>
        </w:rPr>
        <w:t xml:space="preserve"> (Powierzchniowy współczynnik odblasku definicja i pomiary)</w:t>
      </w:r>
    </w:p>
    <w:p w:rsidR="00AF25CD" w:rsidRDefault="00AF25CD" w:rsidP="00AF25CD">
      <w:pPr>
        <w:pStyle w:val="NormalWeb"/>
        <w:spacing w:before="0" w:after="0"/>
        <w:jc w:val="both"/>
        <w:rPr>
          <w:rFonts w:ascii="Arial" w:hAnsi="Arial"/>
          <w:sz w:val="20"/>
        </w:rPr>
      </w:pPr>
      <w:r>
        <w:rPr>
          <w:rFonts w:ascii="Arial" w:hAnsi="Arial"/>
          <w:b/>
          <w:sz w:val="20"/>
        </w:rPr>
        <w:t xml:space="preserve">31. </w:t>
      </w:r>
      <w:r>
        <w:rPr>
          <w:rFonts w:ascii="Arial" w:hAnsi="Arial"/>
          <w:sz w:val="20"/>
        </w:rPr>
        <w:t>Ustawa z dnia 16 kwietnia 2004 r. o wyrobach budowlanych (Dz. U. nr 92, poz. 881)</w:t>
      </w:r>
    </w:p>
    <w:p w:rsidR="00AF25CD" w:rsidRDefault="00AF25CD" w:rsidP="00AF25CD">
      <w:pPr>
        <w:pStyle w:val="NormalWeb"/>
        <w:spacing w:before="0" w:after="0"/>
        <w:jc w:val="both"/>
        <w:rPr>
          <w:rFonts w:ascii="Arial" w:hAnsi="Arial"/>
          <w:sz w:val="20"/>
        </w:rPr>
      </w:pPr>
      <w:r>
        <w:rPr>
          <w:rFonts w:ascii="Arial" w:hAnsi="Arial"/>
          <w:b/>
          <w:sz w:val="20"/>
        </w:rPr>
        <w:t xml:space="preserve">32. </w:t>
      </w:r>
      <w:r>
        <w:rPr>
          <w:rFonts w:ascii="Arial" w:hAnsi="Arial"/>
          <w:sz w:val="20"/>
        </w:rPr>
        <w:t xml:space="preserve">Stałe odblaskowe znaki drogowe i urządzenia bezpieczeństwa ruchu drogowego. Zalecenia </w:t>
      </w:r>
      <w:proofErr w:type="spellStart"/>
      <w:r>
        <w:rPr>
          <w:rFonts w:ascii="Arial" w:hAnsi="Arial"/>
          <w:sz w:val="20"/>
        </w:rPr>
        <w:t>IBDiM</w:t>
      </w:r>
      <w:proofErr w:type="spellEnd"/>
      <w:r>
        <w:rPr>
          <w:rFonts w:ascii="Arial" w:hAnsi="Arial"/>
          <w:sz w:val="20"/>
        </w:rPr>
        <w:t xml:space="preserve"> do udzielania aprobat technicznych nr Z/2005-03-009 </w:t>
      </w:r>
    </w:p>
    <w:p w:rsidR="00AF25CD" w:rsidRDefault="00AF25CD" w:rsidP="00AF25CD">
      <w:pPr>
        <w:tabs>
          <w:tab w:val="left" w:pos="720"/>
        </w:tabs>
        <w:rPr>
          <w:rFonts w:ascii="Arial" w:hAnsi="Arial"/>
        </w:rPr>
      </w:pPr>
      <w:r>
        <w:rPr>
          <w:rFonts w:ascii="Arial" w:hAnsi="Arial"/>
          <w:b/>
        </w:rPr>
        <w:t>33.</w:t>
      </w:r>
      <w:r>
        <w:rPr>
          <w:rFonts w:ascii="Arial" w:hAnsi="Arial"/>
        </w:rPr>
        <w:t xml:space="preserve"> Generalna Dyrekcja Dróg Publicznych Ogólne Specyfikacje Techniczne </w:t>
      </w:r>
    </w:p>
    <w:p w:rsidR="00AF25CD" w:rsidRDefault="00AF25CD" w:rsidP="00AF25CD">
      <w:pPr>
        <w:rPr>
          <w:rFonts w:ascii="Arial" w:hAnsi="Arial"/>
        </w:rPr>
      </w:pPr>
      <w:r>
        <w:rPr>
          <w:rFonts w:ascii="Arial" w:hAnsi="Arial"/>
        </w:rPr>
        <w:t>D-M-00.00.00 Wymagania ogólne. Warszawa 2002 Jednostka autorska, opracowanie edytorskie i rozpowszechnianie: Branżowy Zakład Doświadczalny Budownictwa Drogowego i Mostowego, Sp. z o.o. Warszawa</w:t>
      </w:r>
    </w:p>
    <w:p w:rsidR="00AF25CD" w:rsidRDefault="00AF25CD" w:rsidP="00AF25CD">
      <w:pPr>
        <w:pStyle w:val="Tekstprzypisudolnego"/>
      </w:pPr>
    </w:p>
    <w:p w:rsidR="00AF25CD" w:rsidRDefault="00AF25CD" w:rsidP="00AF25CD">
      <w:pPr>
        <w:pStyle w:val="Tekstprzypisudolnego"/>
      </w:pPr>
    </w:p>
    <w:p w:rsidR="00AF25CD" w:rsidRDefault="00AF25CD" w:rsidP="00AF25CD">
      <w:pPr>
        <w:pStyle w:val="Tekstprzypisudolnego"/>
      </w:pPr>
    </w:p>
    <w:p w:rsidR="00AF25CD" w:rsidRDefault="00AF25CD" w:rsidP="00AF25CD">
      <w:pPr>
        <w:pStyle w:val="Tekstprzypisudolnego"/>
      </w:pPr>
    </w:p>
    <w:p w:rsidR="00AF25CD" w:rsidRDefault="00AF25CD" w:rsidP="00AF25CD">
      <w:pPr>
        <w:pStyle w:val="Nagwek2"/>
      </w:pPr>
    </w:p>
    <w:p w:rsidR="00AF25CD" w:rsidRDefault="00AF25CD" w:rsidP="00AF25CD">
      <w:pPr>
        <w:pStyle w:val="Tekstprzypisudolnego"/>
      </w:pPr>
    </w:p>
    <w:p w:rsidR="000A1E29" w:rsidRDefault="000A1E29">
      <w:bookmarkStart w:id="21" w:name="_GoBack"/>
      <w:bookmarkEnd w:id="21"/>
    </w:p>
    <w:sectPr w:rsidR="000A1E29" w:rsidSect="00326F6A">
      <w:pgSz w:w="11906" w:h="16838" w:code="9"/>
      <w:pgMar w:top="1247" w:right="1134" w:bottom="124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2C64178"/>
    <w:lvl w:ilvl="0">
      <w:numFmt w:val="bullet"/>
      <w:lvlText w:val="*"/>
      <w:lvlJc w:val="left"/>
      <w:pPr>
        <w:ind w:left="0" w:firstLine="0"/>
      </w:pPr>
    </w:lvl>
  </w:abstractNum>
  <w:abstractNum w:abstractNumId="1" w15:restartNumberingAfterBreak="0">
    <w:nsid w:val="3863785C"/>
    <w:multiLevelType w:val="singleLevel"/>
    <w:tmpl w:val="086091E4"/>
    <w:lvl w:ilvl="0">
      <w:start w:val="1"/>
      <w:numFmt w:val="lowerLetter"/>
      <w:lvlText w:val="%1)"/>
      <w:legacy w:legacy="1" w:legacySpace="0" w:legacyIndent="283"/>
      <w:lvlJc w:val="left"/>
      <w:pPr>
        <w:ind w:left="283" w:hanging="283"/>
      </w:pPr>
    </w:lvl>
  </w:abstractNum>
  <w:abstractNum w:abstractNumId="2" w15:restartNumberingAfterBreak="0">
    <w:nsid w:val="3F7B08C7"/>
    <w:multiLevelType w:val="singleLevel"/>
    <w:tmpl w:val="086091E4"/>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2"/>
    <w:lvlOverride w:ilvl="0">
      <w:startOverride w:val="1"/>
    </w:lvlOverride>
  </w:num>
  <w:num w:numId="3">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5CD"/>
    <w:rsid w:val="000A1E29"/>
    <w:rsid w:val="00326F6A"/>
    <w:rsid w:val="00AF25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7EAE0-C504-4BDA-9712-1FB8DD80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AF25CD"/>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F25CD"/>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AF25CD"/>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25CD"/>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AF25CD"/>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AF25CD"/>
    <w:pPr>
      <w:tabs>
        <w:tab w:val="right" w:leader="dot" w:pos="7371"/>
      </w:tabs>
      <w:spacing w:before="120" w:after="120"/>
      <w:jc w:val="left"/>
    </w:pPr>
    <w:rPr>
      <w:b/>
      <w:caps/>
    </w:rPr>
  </w:style>
  <w:style w:type="paragraph" w:styleId="Tekstprzypisudolnego">
    <w:name w:val="footnote text"/>
    <w:basedOn w:val="Normalny"/>
    <w:link w:val="TekstprzypisudolnegoZnak"/>
    <w:semiHidden/>
    <w:unhideWhenUsed/>
    <w:rsid w:val="00AF25CD"/>
  </w:style>
  <w:style w:type="character" w:customStyle="1" w:styleId="TekstprzypisudolnegoZnak">
    <w:name w:val="Tekst przypisu dolnego Znak"/>
    <w:basedOn w:val="Domylnaczcionkaakapitu"/>
    <w:link w:val="Tekstprzypisudolnego"/>
    <w:semiHidden/>
    <w:rsid w:val="00AF25CD"/>
    <w:rPr>
      <w:rFonts w:ascii="Times New Roman" w:eastAsia="Times New Roman" w:hAnsi="Times New Roman" w:cs="Times New Roman"/>
      <w:sz w:val="20"/>
      <w:szCs w:val="20"/>
      <w:lang w:eastAsia="pl-PL"/>
    </w:rPr>
  </w:style>
  <w:style w:type="paragraph" w:customStyle="1" w:styleId="StylIwony">
    <w:name w:val="Styl Iwony"/>
    <w:basedOn w:val="Normalny"/>
    <w:rsid w:val="00AF25CD"/>
    <w:pPr>
      <w:spacing w:before="120" w:after="120"/>
    </w:pPr>
    <w:rPr>
      <w:rFonts w:ascii="Bookman Old Style" w:hAnsi="Bookman Old Style"/>
      <w:sz w:val="24"/>
    </w:rPr>
  </w:style>
  <w:style w:type="paragraph" w:customStyle="1" w:styleId="Standardowytekst">
    <w:name w:val="Standardowy.tekst"/>
    <w:rsid w:val="00AF25CD"/>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NormalWeb">
    <w:name w:val="Normal (Web)"/>
    <w:basedOn w:val="Normalny"/>
    <w:rsid w:val="00AF25CD"/>
    <w:pPr>
      <w:spacing w:before="100" w:after="10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4959</Words>
  <Characters>29756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Kepesz</dc:creator>
  <cp:keywords/>
  <dc:description/>
  <cp:lastModifiedBy>Piotr Kepesz</cp:lastModifiedBy>
  <cp:revision>1</cp:revision>
  <dcterms:created xsi:type="dcterms:W3CDTF">2016-03-17T11:51:00Z</dcterms:created>
  <dcterms:modified xsi:type="dcterms:W3CDTF">2016-03-17T11:52:00Z</dcterms:modified>
</cp:coreProperties>
</file>